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9B546" w14:textId="77777777" w:rsidR="00BB0129" w:rsidRDefault="00BB0129" w:rsidP="00B47BF2">
      <w:pPr>
        <w:spacing w:before="160"/>
        <w:jc w:val="center"/>
        <w:rPr>
          <w:rFonts w:ascii="Calibri" w:hAnsi="Calibri" w:cs="Calibri"/>
          <w:b/>
          <w:bCs/>
          <w:color w:val="F48C29"/>
          <w:u w:val="single"/>
          <w:lang w:val="el-GR"/>
        </w:rPr>
      </w:pPr>
    </w:p>
    <w:p w14:paraId="696AFCC9" w14:textId="77777777" w:rsidR="00BB0129" w:rsidRDefault="00BB0129" w:rsidP="00B47BF2">
      <w:pPr>
        <w:spacing w:before="160"/>
        <w:jc w:val="center"/>
        <w:rPr>
          <w:rFonts w:ascii="Calibri" w:hAnsi="Calibri" w:cs="Calibri"/>
          <w:b/>
          <w:bCs/>
          <w:color w:val="F48C29"/>
          <w:u w:val="single"/>
          <w:lang w:val="el-GR"/>
        </w:rPr>
      </w:pPr>
    </w:p>
    <w:p w14:paraId="41852F07" w14:textId="344C2D1A" w:rsidR="00B47BF2" w:rsidRPr="00472741" w:rsidRDefault="00B47BF2" w:rsidP="00B47BF2">
      <w:pPr>
        <w:spacing w:before="160"/>
        <w:jc w:val="center"/>
        <w:rPr>
          <w:rFonts w:ascii="Calibri" w:hAnsi="Calibri" w:cs="Calibri"/>
          <w:b/>
          <w:bCs/>
          <w:color w:val="F48C29"/>
          <w:u w:val="single"/>
          <w:lang w:val="el-GR"/>
        </w:rPr>
      </w:pPr>
      <w:r w:rsidRPr="00472741">
        <w:rPr>
          <w:rFonts w:ascii="Calibri" w:hAnsi="Calibri" w:cs="Calibri"/>
          <w:b/>
          <w:bCs/>
          <w:color w:val="F48C29"/>
          <w:u w:val="single"/>
          <w:lang w:val="el-GR"/>
        </w:rPr>
        <w:t>Συνοπτικό Σημείωμα:</w:t>
      </w:r>
    </w:p>
    <w:p w14:paraId="728F923B" w14:textId="475DE094" w:rsidR="0066189B" w:rsidRPr="0066189B" w:rsidRDefault="00B47BF2" w:rsidP="00B47BF2">
      <w:pPr>
        <w:spacing w:before="160"/>
        <w:jc w:val="center"/>
        <w:rPr>
          <w:rFonts w:ascii="Calibri" w:hAnsi="Calibri" w:cs="Calibri"/>
          <w:b/>
          <w:bCs/>
          <w:color w:val="F48C29"/>
          <w:sz w:val="28"/>
          <w:szCs w:val="28"/>
          <w:u w:val="single"/>
          <w:lang w:val="el-GR"/>
        </w:rPr>
      </w:pPr>
      <w:r w:rsidRPr="0066189B">
        <w:rPr>
          <w:rFonts w:ascii="Calibri" w:hAnsi="Calibri" w:cs="Calibri"/>
          <w:b/>
          <w:bCs/>
          <w:color w:val="F48C29"/>
          <w:sz w:val="28"/>
          <w:szCs w:val="28"/>
          <w:u w:val="single"/>
          <w:lang w:val="el-GR"/>
        </w:rPr>
        <w:t xml:space="preserve">Αναδυόμενο </w:t>
      </w:r>
      <w:r w:rsidR="0066189B">
        <w:rPr>
          <w:rFonts w:ascii="Calibri" w:hAnsi="Calibri" w:cs="Calibri"/>
          <w:b/>
          <w:bCs/>
          <w:color w:val="F48C29"/>
          <w:sz w:val="28"/>
          <w:szCs w:val="28"/>
          <w:u w:val="single"/>
          <w:lang w:val="el-GR"/>
        </w:rPr>
        <w:t>γ</w:t>
      </w:r>
      <w:r w:rsidRPr="0066189B">
        <w:rPr>
          <w:rFonts w:ascii="Calibri" w:hAnsi="Calibri" w:cs="Calibri"/>
          <w:b/>
          <w:bCs/>
          <w:color w:val="F48C29"/>
          <w:sz w:val="28"/>
          <w:szCs w:val="28"/>
          <w:u w:val="single"/>
          <w:lang w:val="el-GR"/>
        </w:rPr>
        <w:t>εωπολιτικό ρίσκο</w:t>
      </w:r>
      <w:r w:rsidR="0066189B">
        <w:rPr>
          <w:rFonts w:ascii="Calibri" w:hAnsi="Calibri" w:cs="Calibri"/>
          <w:b/>
          <w:bCs/>
          <w:color w:val="F48C29"/>
          <w:sz w:val="28"/>
          <w:szCs w:val="28"/>
          <w:u w:val="single"/>
          <w:lang w:val="el-GR"/>
        </w:rPr>
        <w:t xml:space="preserve"> και δυνητικές ευκαιρίες</w:t>
      </w:r>
    </w:p>
    <w:p w14:paraId="6F651C2E" w14:textId="3D9404F9" w:rsidR="00B47BF2" w:rsidRPr="00472741" w:rsidRDefault="0066189B" w:rsidP="00B47BF2">
      <w:pPr>
        <w:spacing w:before="160"/>
        <w:jc w:val="center"/>
        <w:rPr>
          <w:rFonts w:ascii="Calibri" w:hAnsi="Calibri" w:cs="Calibri"/>
          <w:b/>
          <w:bCs/>
          <w:color w:val="F48C29"/>
          <w:u w:val="single"/>
          <w:lang w:val="el-GR"/>
        </w:rPr>
      </w:pPr>
      <w:r>
        <w:rPr>
          <w:rFonts w:ascii="Calibri" w:hAnsi="Calibri" w:cs="Calibri"/>
          <w:b/>
          <w:bCs/>
          <w:color w:val="F48C29"/>
          <w:u w:val="single"/>
          <w:lang w:val="el-GR"/>
        </w:rPr>
        <w:t>Ιούνιος 2022</w:t>
      </w:r>
    </w:p>
    <w:p w14:paraId="14F70980" w14:textId="77777777" w:rsidR="00B47BF2" w:rsidRPr="00472741" w:rsidRDefault="00B47BF2" w:rsidP="00B47BF2">
      <w:pPr>
        <w:spacing w:before="160"/>
        <w:jc w:val="both"/>
        <w:rPr>
          <w:rFonts w:ascii="Calibri" w:hAnsi="Calibri" w:cs="Calibri"/>
          <w:lang w:val="el-GR"/>
        </w:rPr>
      </w:pPr>
    </w:p>
    <w:p w14:paraId="2C68353E" w14:textId="77777777" w:rsidR="00BB0129" w:rsidRDefault="00B47BF2" w:rsidP="00B47BF2">
      <w:pPr>
        <w:spacing w:before="160"/>
        <w:jc w:val="both"/>
        <w:rPr>
          <w:rFonts w:ascii="Calibri" w:hAnsi="Calibri" w:cs="Calibri"/>
          <w:lang w:val="el-GR"/>
        </w:rPr>
      </w:pPr>
      <w:r w:rsidRPr="00472741">
        <w:rPr>
          <w:rFonts w:ascii="Calibri" w:hAnsi="Calibri" w:cs="Calibri"/>
          <w:lang w:val="el-GR"/>
        </w:rPr>
        <w:t>Η υφιστάμενη εικόνα στη διεθνή οικονομία δημιουργεί σημαντικές κοινωνικές και πολιτικές αναταραχές σε όλες σχεδόν τις οικονομίες. Η διάβρωση των πραγματικών εισοδημάτων των νοικοκυριών συνεχίζεται</w:t>
      </w:r>
      <w:r w:rsidR="00BB0129" w:rsidRPr="00BB0129">
        <w:rPr>
          <w:rFonts w:ascii="Calibri" w:hAnsi="Calibri" w:cs="Calibri"/>
          <w:lang w:val="el-GR"/>
        </w:rPr>
        <w:t xml:space="preserve"> </w:t>
      </w:r>
      <w:r w:rsidR="00BB0129">
        <w:rPr>
          <w:rFonts w:ascii="Calibri" w:hAnsi="Calibri" w:cs="Calibri"/>
          <w:lang w:val="el-GR"/>
        </w:rPr>
        <w:t>σε όλες</w:t>
      </w:r>
      <w:r w:rsidRPr="00472741">
        <w:rPr>
          <w:rFonts w:ascii="Calibri" w:hAnsi="Calibri" w:cs="Calibri"/>
          <w:lang w:val="el-GR"/>
        </w:rPr>
        <w:t>,</w:t>
      </w:r>
      <w:r w:rsidR="00BB0129">
        <w:rPr>
          <w:rFonts w:ascii="Calibri" w:hAnsi="Calibri" w:cs="Calibri"/>
          <w:lang w:val="el-GR"/>
        </w:rPr>
        <w:t xml:space="preserve"> ουσιαστικά, τις οικονομίες,</w:t>
      </w:r>
      <w:r w:rsidRPr="00472741">
        <w:rPr>
          <w:rFonts w:ascii="Calibri" w:hAnsi="Calibri" w:cs="Calibri"/>
          <w:lang w:val="el-GR"/>
        </w:rPr>
        <w:t xml:space="preserve"> κάτι που αναμένεται πως θα συνεχιστεί ακόμα και σε περίπτωση που ο πόλεμος στην Ουκρανία δεν κλιμακωθεί περαιτέρω.</w:t>
      </w:r>
    </w:p>
    <w:p w14:paraId="64341F7B" w14:textId="589D72AF" w:rsidR="00B47BF2" w:rsidRPr="00472741" w:rsidRDefault="00B47BF2" w:rsidP="00B47BF2">
      <w:pPr>
        <w:spacing w:before="160"/>
        <w:jc w:val="both"/>
        <w:rPr>
          <w:rFonts w:ascii="Calibri" w:hAnsi="Calibri" w:cs="Calibri"/>
          <w:lang w:val="el-GR"/>
        </w:rPr>
      </w:pPr>
      <w:r w:rsidRPr="00472741">
        <w:rPr>
          <w:rFonts w:ascii="Calibri" w:hAnsi="Calibri" w:cs="Calibri"/>
          <w:lang w:val="el-GR"/>
        </w:rPr>
        <w:t xml:space="preserve"> Με δεδομένο ότι οι κυρώσεις κατά της Ρωσίας αναμένεται να συνεχιστούν, ότι οι σοδειές έχουν χαθεί, όχι μόνο για το 2022 αλλά </w:t>
      </w:r>
      <w:r w:rsidR="00A9505A" w:rsidRPr="00472741">
        <w:rPr>
          <w:rFonts w:ascii="Calibri" w:hAnsi="Calibri" w:cs="Calibri"/>
          <w:lang w:val="el-GR"/>
        </w:rPr>
        <w:t xml:space="preserve">τουλάχιστον </w:t>
      </w:r>
      <w:r w:rsidRPr="00472741">
        <w:rPr>
          <w:rFonts w:ascii="Calibri" w:hAnsi="Calibri" w:cs="Calibri"/>
          <w:lang w:val="el-GR"/>
        </w:rPr>
        <w:t>και για το 2023, και ότι οι αναταραχές σε κρίσιμης σημασίας πόρους παραγωγής (και δη μέταλλα) δεν θα κατευναστούν, πρέπει να αναμένεται πως το διεθνές πληθωριστικό ρεύμα θα συνεχιστεί και η διάβρωση των πραγματικών εισοδημάτων των νοικοκυριών στη διεθνή οικονομία θα συνεχιστεί και μέσα στο 2023.</w:t>
      </w:r>
      <w:r w:rsidR="00BB0129">
        <w:rPr>
          <w:rFonts w:ascii="Calibri" w:hAnsi="Calibri" w:cs="Calibri"/>
          <w:lang w:val="el-GR"/>
        </w:rPr>
        <w:t xml:space="preserve"> Μια πιθανή αποκλιμάκωση, δε, των τιμών καυσίμων, την οποία πολλοί αναλυτές αναμένουν μέσα στο Φθινόπωρο, δεν </w:t>
      </w:r>
      <w:r w:rsidR="008D492D">
        <w:rPr>
          <w:rFonts w:ascii="Calibri" w:hAnsi="Calibri" w:cs="Calibri"/>
          <w:lang w:val="el-GR"/>
        </w:rPr>
        <w:t xml:space="preserve">πρέπει να αναμένεται πως θα είναι </w:t>
      </w:r>
      <w:r w:rsidR="00BB0129">
        <w:rPr>
          <w:rFonts w:ascii="Calibri" w:hAnsi="Calibri" w:cs="Calibri"/>
          <w:lang w:val="el-GR"/>
        </w:rPr>
        <w:t>αρκούντως μεγάλη για να ανατρέψει την εικόνα</w:t>
      </w:r>
      <w:r w:rsidR="008D492D">
        <w:rPr>
          <w:rFonts w:ascii="Calibri" w:hAnsi="Calibri" w:cs="Calibri"/>
          <w:lang w:val="el-GR"/>
        </w:rPr>
        <w:t xml:space="preserve"> στις τιμές καταναλωτή και παραγωγού</w:t>
      </w:r>
      <w:r w:rsidR="00BB0129">
        <w:rPr>
          <w:rFonts w:ascii="Calibri" w:hAnsi="Calibri" w:cs="Calibri"/>
          <w:lang w:val="el-GR"/>
        </w:rPr>
        <w:t xml:space="preserve">, ενώ δεν </w:t>
      </w:r>
      <w:r w:rsidR="008D492D">
        <w:rPr>
          <w:rFonts w:ascii="Calibri" w:hAnsi="Calibri" w:cs="Calibri"/>
          <w:lang w:val="el-GR"/>
        </w:rPr>
        <w:t>αναμένεται να</w:t>
      </w:r>
      <w:r w:rsidR="00BB0129">
        <w:rPr>
          <w:rFonts w:ascii="Calibri" w:hAnsi="Calibri" w:cs="Calibri"/>
          <w:lang w:val="el-GR"/>
        </w:rPr>
        <w:t xml:space="preserve"> έχει καθολική αποπληθωριστική επίπτωση στους γενικούς δείκτες και δη στον δομικό πληθωρισμό. </w:t>
      </w:r>
      <w:r w:rsidRPr="00472741">
        <w:rPr>
          <w:rFonts w:ascii="Calibri" w:hAnsi="Calibri" w:cs="Calibri"/>
          <w:lang w:val="el-GR"/>
        </w:rPr>
        <w:t xml:space="preserve"> </w:t>
      </w:r>
    </w:p>
    <w:p w14:paraId="3EA8A36D" w14:textId="77777777" w:rsidR="00B47BF2" w:rsidRPr="00472741" w:rsidRDefault="00B47BF2" w:rsidP="00B47BF2">
      <w:pPr>
        <w:spacing w:before="160"/>
        <w:jc w:val="both"/>
        <w:rPr>
          <w:rFonts w:ascii="Calibri" w:hAnsi="Calibri" w:cs="Calibri"/>
          <w:lang w:val="el-GR"/>
        </w:rPr>
      </w:pPr>
      <w:r w:rsidRPr="00472741">
        <w:rPr>
          <w:rFonts w:ascii="Calibri" w:hAnsi="Calibri" w:cs="Calibri"/>
          <w:lang w:val="el-GR"/>
        </w:rPr>
        <w:t>Μέσα σε αυτό το πλαίσιο, οι συνθήκες στις ευάλωτες οικονομίες της περιοχής μας συνεχίζουν να επιδεινώνονται, με αποτέλεσμα να ασκούνται νέες πιέσεις στις εύθραυστες πολιτικές τους σκηνές</w:t>
      </w:r>
      <w:r w:rsidRPr="00472741">
        <w:rPr>
          <w:rStyle w:val="FootnoteReference"/>
          <w:rFonts w:ascii="Calibri" w:hAnsi="Calibri" w:cs="Calibri"/>
          <w:lang w:val="el-GR"/>
        </w:rPr>
        <w:footnoteReference w:id="1"/>
      </w:r>
      <w:r w:rsidRPr="00472741">
        <w:rPr>
          <w:rFonts w:ascii="Calibri" w:hAnsi="Calibri" w:cs="Calibri"/>
          <w:lang w:val="el-GR"/>
        </w:rPr>
        <w:t xml:space="preserve">. Σημειώνεται, μάλιστα, πως οι τιμές των τροφίμων βρίσκονται ήδη σε επίπεδα υψηλότερα από εκείνα του 2009-2011 όταν πυροδότησαν την Αραβική Άνοιξη, ενώ και τα επίπεδα πληθωρισμού στην Ανατολική Μεσόγειο και τη Βόρεια Αφρική συνεχίζουν να επιδεινώνουν τις κοινωνικές ανισότητες και να ασκούν όλο και ισχυρότερες πιέσεις στις κοινωνίες. </w:t>
      </w:r>
    </w:p>
    <w:p w14:paraId="7705C6FD" w14:textId="1F0F674E" w:rsidR="00A9505A" w:rsidRPr="00472741" w:rsidRDefault="00B47BF2" w:rsidP="00B47BF2">
      <w:pPr>
        <w:spacing w:before="160"/>
        <w:jc w:val="both"/>
        <w:rPr>
          <w:rFonts w:ascii="Calibri" w:hAnsi="Calibri" w:cs="Calibri"/>
          <w:b/>
          <w:bCs/>
          <w:lang w:val="el-GR"/>
        </w:rPr>
      </w:pPr>
      <w:r w:rsidRPr="00472741">
        <w:rPr>
          <w:rFonts w:ascii="Calibri" w:hAnsi="Calibri" w:cs="Calibri"/>
          <w:b/>
          <w:bCs/>
          <w:lang w:val="el-GR"/>
        </w:rPr>
        <w:t xml:space="preserve">Οι πιθανότητες πολιτικών αναταραχών είναι πλέον </w:t>
      </w:r>
      <w:r w:rsidR="00A9505A" w:rsidRPr="00472741">
        <w:rPr>
          <w:rFonts w:ascii="Calibri" w:hAnsi="Calibri" w:cs="Calibri"/>
          <w:b/>
          <w:bCs/>
          <w:lang w:val="el-GR"/>
        </w:rPr>
        <w:t>αυξημένες σε χώρες που γειτνιάζουν με την Κύπρο γεωγραφικά, πολιτικά και οικονομικά</w:t>
      </w:r>
      <w:r w:rsidRPr="00472741">
        <w:rPr>
          <w:rFonts w:ascii="Calibri" w:hAnsi="Calibri" w:cs="Calibri"/>
          <w:b/>
          <w:bCs/>
          <w:lang w:val="el-GR"/>
        </w:rPr>
        <w:t xml:space="preserve">, </w:t>
      </w:r>
      <w:r w:rsidR="00A9505A" w:rsidRPr="00472741">
        <w:rPr>
          <w:rFonts w:ascii="Calibri" w:hAnsi="Calibri" w:cs="Calibri"/>
          <w:b/>
          <w:bCs/>
          <w:lang w:val="el-GR"/>
        </w:rPr>
        <w:t xml:space="preserve">συμπεριλαμβανομένων και κρατών που </w:t>
      </w:r>
      <w:r w:rsidRPr="00472741">
        <w:rPr>
          <w:rFonts w:ascii="Calibri" w:hAnsi="Calibri" w:cs="Calibri"/>
          <w:b/>
          <w:bCs/>
          <w:lang w:val="el-GR"/>
        </w:rPr>
        <w:t>μέχρι πρότινος θεωρούνταν σταθερ</w:t>
      </w:r>
      <w:r w:rsidR="00A9505A" w:rsidRPr="00472741">
        <w:rPr>
          <w:rFonts w:ascii="Calibri" w:hAnsi="Calibri" w:cs="Calibri"/>
          <w:b/>
          <w:bCs/>
          <w:lang w:val="el-GR"/>
        </w:rPr>
        <w:t>ά</w:t>
      </w:r>
      <w:r w:rsidRPr="00472741">
        <w:rPr>
          <w:rFonts w:ascii="Calibri" w:hAnsi="Calibri" w:cs="Calibri"/>
          <w:b/>
          <w:bCs/>
          <w:lang w:val="el-GR"/>
        </w:rPr>
        <w:t xml:space="preserve">. </w:t>
      </w:r>
    </w:p>
    <w:p w14:paraId="17E3FA36" w14:textId="637ABF32" w:rsidR="00B47BF2" w:rsidRPr="00472741" w:rsidRDefault="00B47BF2" w:rsidP="00B47BF2">
      <w:pPr>
        <w:spacing w:before="160"/>
        <w:jc w:val="both"/>
        <w:rPr>
          <w:rFonts w:ascii="Calibri" w:hAnsi="Calibri" w:cs="Calibri"/>
          <w:lang w:val="el-GR"/>
        </w:rPr>
      </w:pPr>
      <w:r w:rsidRPr="00472741">
        <w:rPr>
          <w:rFonts w:ascii="Calibri" w:hAnsi="Calibri" w:cs="Calibri"/>
          <w:lang w:val="el-GR"/>
        </w:rPr>
        <w:t xml:space="preserve">Η γενικευμένη γεωπολιτική και πολιτική κατάσταση στην περιοχή της Κύπρου είναι επομένως πιθανόν να μεταφραστεί σε μια νέα κρίση, είτε σε μεμονωμένα κράτη, είτε ακόμα και με αλυσιδωτές επιδράσεις στην ευρύτερη μας περιοχή. </w:t>
      </w:r>
    </w:p>
    <w:p w14:paraId="200295E7" w14:textId="346C3225" w:rsidR="00B47BF2" w:rsidRPr="00472741" w:rsidRDefault="00B47BF2" w:rsidP="00B47BF2">
      <w:pPr>
        <w:spacing w:before="160"/>
        <w:jc w:val="both"/>
        <w:rPr>
          <w:rFonts w:ascii="Calibri" w:hAnsi="Calibri" w:cs="Calibri"/>
          <w:lang w:val="el-GR"/>
        </w:rPr>
      </w:pPr>
      <w:r w:rsidRPr="00472741">
        <w:rPr>
          <w:rFonts w:ascii="Calibri" w:hAnsi="Calibri" w:cs="Calibri"/>
          <w:lang w:val="el-GR"/>
        </w:rPr>
        <w:lastRenderedPageBreak/>
        <w:t xml:space="preserve">Μια τέτοια εξέλιξη θα είναι, φυσικά, αρνητική και αποτελεί λόγο ανησυχίας. Ωστόσο, την ίδια στιγμή δημιουργούνται </w:t>
      </w:r>
      <w:r w:rsidRPr="008D492D">
        <w:rPr>
          <w:rFonts w:ascii="Calibri" w:hAnsi="Calibri" w:cs="Calibri"/>
          <w:b/>
          <w:bCs/>
          <w:i/>
          <w:iCs/>
          <w:lang w:val="el-GR"/>
        </w:rPr>
        <w:t>και δυνητικές ευκαιρίες</w:t>
      </w:r>
      <w:r w:rsidRPr="00472741">
        <w:rPr>
          <w:rFonts w:ascii="Calibri" w:hAnsi="Calibri" w:cs="Calibri"/>
          <w:lang w:val="el-GR"/>
        </w:rPr>
        <w:t xml:space="preserve"> για την οικονομία, νοουμένου πάντα πως θα προετοιμαστεί η χώρα μας, τόσο σε πολιτικό όσο και σε επιχειρηματικό επίπεδο: Η Κύπρος θα μπορούσε να αποτελέσει σε ορισμένες περιπτώσεις εναλλακτικό προορισμό επενδυτικών ροών, ενώ σε ορισμένες περιπτώσεις κυπριακές επιχειρήσεις θα μπορούσαν ενδεχομένως να αντικαταστήσουν εξαγωγές από χώρες σε αναταραχή, ως εναλλακτικός προμηθευτής. Παρομοίως, μια εκτροπή τουριστικών ροών ή και μετοίκηση επιχειρήσεων από χώρες όπως την Ιορδανία, ενδεχομένως να προσφέρει ευκαιρίες για την Κύπρο. </w:t>
      </w:r>
    </w:p>
    <w:p w14:paraId="1E3D7FCF" w14:textId="77777777" w:rsidR="00B47BF2" w:rsidRPr="00472741" w:rsidRDefault="00B47BF2" w:rsidP="00B47BF2">
      <w:pPr>
        <w:spacing w:before="160"/>
        <w:jc w:val="both"/>
        <w:rPr>
          <w:rFonts w:ascii="Calibri" w:hAnsi="Calibri" w:cs="Calibri"/>
          <w:lang w:val="el-GR"/>
        </w:rPr>
      </w:pPr>
      <w:r w:rsidRPr="00472741">
        <w:rPr>
          <w:rFonts w:ascii="Calibri" w:hAnsi="Calibri" w:cs="Calibri"/>
          <w:b/>
          <w:bCs/>
          <w:lang w:val="el-GR"/>
        </w:rPr>
        <w:t>Η ανάλυση τέτοιων εξελίξεων, και η έγκαιρη ενημέρωση επιχειρήσεων, καθώς και η προετοιμασία που έχει ήδη αρχίσει μέσα από την αναβάθμιση του νομικού και ρυθμιστικού πλαισίου, μπορούν να ενισχύσουν μια περιορισμένης έκτασης ευκαιρία η οποία ωστόσο θα έχει υψηλά δυνητικά οφέλη, όχι μόνο σε μικροοικονομικό επίπεδο, αλλά και σε μακροσκοπικό</w:t>
      </w:r>
      <w:r w:rsidRPr="00472741">
        <w:rPr>
          <w:rFonts w:ascii="Calibri" w:hAnsi="Calibri" w:cs="Calibri"/>
          <w:lang w:val="el-GR"/>
        </w:rPr>
        <w:t xml:space="preserve">. </w:t>
      </w:r>
    </w:p>
    <w:p w14:paraId="385CE737" w14:textId="77777777" w:rsidR="00B47BF2" w:rsidRPr="00472741" w:rsidRDefault="00B47BF2" w:rsidP="00B47BF2">
      <w:pPr>
        <w:spacing w:before="160"/>
        <w:jc w:val="both"/>
        <w:rPr>
          <w:rFonts w:ascii="Calibri" w:hAnsi="Calibri" w:cs="Calibri"/>
          <w:lang w:val="el-GR"/>
        </w:rPr>
      </w:pPr>
      <w:r w:rsidRPr="00472741">
        <w:rPr>
          <w:rFonts w:ascii="Calibri" w:hAnsi="Calibri" w:cs="Calibri"/>
          <w:noProof/>
        </w:rPr>
        <w:drawing>
          <wp:inline distT="0" distB="0" distL="0" distR="0" wp14:anchorId="75A15D4C" wp14:editId="64F76801">
            <wp:extent cx="5731510" cy="4694400"/>
            <wp:effectExtent l="0" t="0" r="2540" b="11430"/>
            <wp:docPr id="39" name="Chart 39">
              <a:extLst xmlns:a="http://schemas.openxmlformats.org/drawingml/2006/main">
                <a:ext uri="{FF2B5EF4-FFF2-40B4-BE49-F238E27FC236}">
                  <a16:creationId xmlns:a16="http://schemas.microsoft.com/office/drawing/2014/main" id="{7A798E91-6ADE-C0D2-7133-B4125C4CD4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F1EF99A" w14:textId="5DCEE73E" w:rsidR="00B47BF2" w:rsidRDefault="00C83343" w:rsidP="00B47BF2">
      <w:pPr>
        <w:spacing w:before="160"/>
        <w:jc w:val="both"/>
        <w:rPr>
          <w:rFonts w:ascii="Calibri" w:hAnsi="Calibri" w:cs="Calibri"/>
          <w:b/>
          <w:bCs/>
          <w:lang w:val="el-GR"/>
        </w:rPr>
      </w:pPr>
      <w:r w:rsidRPr="003138A4">
        <w:rPr>
          <w:rFonts w:ascii="Calibri" w:hAnsi="Calibri" w:cs="Calibri"/>
          <w:noProof/>
        </w:rPr>
        <w:lastRenderedPageBreak/>
        <w:drawing>
          <wp:inline distT="0" distB="0" distL="0" distR="0" wp14:anchorId="5717A856" wp14:editId="386BB996">
            <wp:extent cx="5731510" cy="3461657"/>
            <wp:effectExtent l="0" t="0" r="2540" b="5715"/>
            <wp:docPr id="26" name="Chart 26">
              <a:extLst xmlns:a="http://schemas.openxmlformats.org/drawingml/2006/main">
                <a:ext uri="{FF2B5EF4-FFF2-40B4-BE49-F238E27FC236}">
                  <a16:creationId xmlns:a16="http://schemas.microsoft.com/office/drawing/2014/main" id="{87694509-3CC7-6880-AD16-E8799F8633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58A102F" w14:textId="7C9BD308" w:rsidR="00C76544" w:rsidRDefault="00C76544" w:rsidP="00B47BF2">
      <w:pPr>
        <w:spacing w:before="160"/>
        <w:jc w:val="both"/>
        <w:rPr>
          <w:rFonts w:ascii="Calibri" w:hAnsi="Calibri" w:cs="Calibri"/>
          <w:b/>
          <w:bCs/>
          <w:lang w:val="el-GR"/>
        </w:rPr>
      </w:pPr>
    </w:p>
    <w:p w14:paraId="00FBD2B2" w14:textId="57CEA2A5" w:rsidR="00C76544" w:rsidRDefault="00C76544" w:rsidP="00B47BF2">
      <w:pPr>
        <w:spacing w:before="160"/>
        <w:jc w:val="both"/>
        <w:rPr>
          <w:rFonts w:ascii="Calibri" w:hAnsi="Calibri" w:cs="Calibri"/>
          <w:b/>
          <w:bCs/>
          <w:lang w:val="el-GR"/>
        </w:rPr>
      </w:pPr>
    </w:p>
    <w:p w14:paraId="2D4285AF" w14:textId="77777777" w:rsidR="00C76544" w:rsidRDefault="00C76544" w:rsidP="00B47BF2">
      <w:pPr>
        <w:spacing w:before="160"/>
        <w:jc w:val="both"/>
        <w:rPr>
          <w:rFonts w:ascii="Calibri" w:hAnsi="Calibri" w:cs="Calibri"/>
          <w:b/>
          <w:bCs/>
          <w:lang w:val="el-GR"/>
        </w:rPr>
      </w:pPr>
    </w:p>
    <w:p w14:paraId="7BF8A29C" w14:textId="3CD8EEBB" w:rsidR="00C83343" w:rsidRDefault="00C83343" w:rsidP="00B47BF2">
      <w:pPr>
        <w:spacing w:before="160"/>
        <w:jc w:val="both"/>
        <w:rPr>
          <w:rFonts w:ascii="Calibri" w:hAnsi="Calibri" w:cs="Calibri"/>
          <w:b/>
          <w:bCs/>
          <w:lang w:val="el-GR"/>
        </w:rPr>
      </w:pPr>
      <w:r w:rsidRPr="003138A4">
        <w:rPr>
          <w:rFonts w:ascii="Calibri" w:hAnsi="Calibri" w:cs="Calibri"/>
          <w:noProof/>
        </w:rPr>
        <w:lastRenderedPageBreak/>
        <w:drawing>
          <wp:inline distT="0" distB="0" distL="0" distR="0" wp14:anchorId="5474CB99" wp14:editId="1178AE99">
            <wp:extent cx="5731510" cy="3526971"/>
            <wp:effectExtent l="0" t="0" r="2540" b="16510"/>
            <wp:docPr id="18" name="Chart 18">
              <a:extLst xmlns:a="http://schemas.openxmlformats.org/drawingml/2006/main">
                <a:ext uri="{FF2B5EF4-FFF2-40B4-BE49-F238E27FC236}">
                  <a16:creationId xmlns:a16="http://schemas.microsoft.com/office/drawing/2014/main" id="{B4D2864D-E401-605D-F7F7-67D19F5E9C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94B5698" w14:textId="5E220AB2" w:rsidR="00C83343" w:rsidRPr="00472741" w:rsidRDefault="00C83343" w:rsidP="00B47BF2">
      <w:pPr>
        <w:spacing w:before="160"/>
        <w:jc w:val="both"/>
        <w:rPr>
          <w:rFonts w:ascii="Calibri" w:hAnsi="Calibri" w:cs="Calibri"/>
          <w:b/>
          <w:bCs/>
          <w:lang w:val="el-GR"/>
        </w:rPr>
      </w:pPr>
      <w:r w:rsidRPr="003138A4">
        <w:rPr>
          <w:rFonts w:ascii="Calibri" w:hAnsi="Calibri" w:cs="Calibri"/>
          <w:noProof/>
        </w:rPr>
        <w:drawing>
          <wp:inline distT="0" distB="0" distL="0" distR="0" wp14:anchorId="5B014067" wp14:editId="03156835">
            <wp:extent cx="5514975" cy="2677886"/>
            <wp:effectExtent l="0" t="0" r="9525" b="8255"/>
            <wp:docPr id="1" name="Chart 1">
              <a:extLst xmlns:a="http://schemas.openxmlformats.org/drawingml/2006/main">
                <a:ext uri="{FF2B5EF4-FFF2-40B4-BE49-F238E27FC236}">
                  <a16:creationId xmlns:a16="http://schemas.microsoft.com/office/drawing/2014/main" id="{AC0A412A-5A80-04C7-3AE1-87978CEF98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25A73DE" w14:textId="77777777" w:rsidR="00B47BF2" w:rsidRPr="00472741" w:rsidRDefault="00B47BF2" w:rsidP="00B47BF2">
      <w:pPr>
        <w:spacing w:before="160"/>
        <w:jc w:val="both"/>
        <w:rPr>
          <w:rFonts w:ascii="Calibri" w:hAnsi="Calibri" w:cs="Calibri"/>
          <w:b/>
          <w:bCs/>
          <w:lang w:val="el-GR"/>
        </w:rPr>
      </w:pPr>
      <w:r w:rsidRPr="00472741">
        <w:rPr>
          <w:rFonts w:ascii="Calibri" w:hAnsi="Calibri" w:cs="Calibri"/>
          <w:b/>
          <w:bCs/>
          <w:lang w:val="el-GR"/>
        </w:rPr>
        <w:t>Παγκόσμια οικονομία</w:t>
      </w:r>
    </w:p>
    <w:p w14:paraId="231BED35" w14:textId="77777777" w:rsidR="00B47BF2" w:rsidRPr="00472741" w:rsidRDefault="00B47BF2" w:rsidP="00B47BF2">
      <w:pPr>
        <w:spacing w:before="160"/>
        <w:jc w:val="both"/>
        <w:rPr>
          <w:rFonts w:ascii="Calibri" w:hAnsi="Calibri" w:cs="Calibri"/>
          <w:lang w:val="el-GR"/>
        </w:rPr>
      </w:pPr>
      <w:r w:rsidRPr="00472741">
        <w:rPr>
          <w:rFonts w:ascii="Calibri" w:hAnsi="Calibri" w:cs="Calibri"/>
          <w:lang w:val="el-GR"/>
        </w:rPr>
        <w:t xml:space="preserve">Με ιδιαίτερη ανησυχία παρακολουθεί επίσης το Δημοσιονομικό Συμβούλιο τις εξελίξεις στην παγκόσμια οικονομία ευρύτερα, όπου αναμένεται πως θα γίνουν εκ νέου προς τα κάτω αναθεωρήσεις του παγκόσμιου ΑΕΠ. Οι πιέσεις που ήδη διαφαίνονται στις ΗΠΑ, όπου καταγράφεται στα τέλη Μαΐου αύξηση των επισφαλειών και σημαντική επιβράδυνση του ΑΕΠ, προδιαθέτουν για επιδείνωση της γενικευμένης παγκόσμιας εικόνας, με επιπτώσεις και για την </w:t>
      </w:r>
      <w:r w:rsidRPr="00472741">
        <w:rPr>
          <w:rFonts w:ascii="Calibri" w:hAnsi="Calibri" w:cs="Calibri"/>
          <w:lang w:val="el-GR"/>
        </w:rPr>
        <w:lastRenderedPageBreak/>
        <w:t xml:space="preserve">Κύπρο. Επιπλέον, οι αναταραχές που καταγράφονται στις χρηματιστηριακές αξίες σχεδόν σε όλες τις σημαντικές αγορές της παγκόσμιας οικονομίας, επιβεβαιώνουν τις ανησυχίες για μια γενικευμένη επιβράδυνση με αντίκτυπο, τόσο στην εξωτερική ζήτηση, όσο και στις επενδυτικές ροές. </w:t>
      </w:r>
    </w:p>
    <w:p w14:paraId="5A37EE94" w14:textId="77777777" w:rsidR="008D492D" w:rsidRDefault="00B47BF2" w:rsidP="00B47BF2">
      <w:pPr>
        <w:spacing w:before="160"/>
        <w:jc w:val="both"/>
        <w:rPr>
          <w:rFonts w:ascii="Calibri" w:hAnsi="Calibri" w:cs="Calibri"/>
          <w:lang w:val="el-GR"/>
        </w:rPr>
      </w:pPr>
      <w:r w:rsidRPr="00472741">
        <w:rPr>
          <w:rFonts w:ascii="Calibri" w:hAnsi="Calibri" w:cs="Calibri"/>
          <w:lang w:val="el-GR"/>
        </w:rPr>
        <w:t xml:space="preserve">Η ροπή που διαμορφώνεται σε σχέση με το βραχυκύκλωμα που σημειώνεται στο παγκόσμιο εμπόριο, αν συνεχιστεί, θα επιτείνει τις συνθήκες σπανιότητας σε πρώτες ύλες, ενδιάμεσα αγαθά και άλλους πόρους παραγωγής, καθώς και στα κόστη των ναύλων. </w:t>
      </w:r>
      <w:r w:rsidR="008D492D">
        <w:rPr>
          <w:rFonts w:ascii="Calibri" w:hAnsi="Calibri" w:cs="Calibri"/>
          <w:lang w:val="el-GR"/>
        </w:rPr>
        <w:t xml:space="preserve">Οι αναταραχές στις αλυσίδες τροφοδοσίας, έχουν από την Άνοιξη λάβει και πολιτική/διπλωματική διάσταση σε πολλές περιπτώσεις, με αποτέλεσμα να μην δικαιολογείται, πλέον, η εκτίμηση πως το διεθνές εμπόριο θα βιώσει σύντομα επιστροφή σε συνθήκες πλήρους ομαλότητας. </w:t>
      </w:r>
    </w:p>
    <w:p w14:paraId="0167D0C4" w14:textId="2EA710B0" w:rsidR="00B47BF2" w:rsidRPr="00472741" w:rsidRDefault="00B47BF2" w:rsidP="00B47BF2">
      <w:pPr>
        <w:spacing w:before="160"/>
        <w:jc w:val="both"/>
        <w:rPr>
          <w:rFonts w:ascii="Calibri" w:hAnsi="Calibri" w:cs="Calibri"/>
          <w:lang w:val="el-GR"/>
        </w:rPr>
      </w:pPr>
      <w:r w:rsidRPr="00472741">
        <w:rPr>
          <w:rFonts w:ascii="Calibri" w:hAnsi="Calibri" w:cs="Calibri"/>
          <w:lang w:val="el-GR"/>
        </w:rPr>
        <w:t xml:space="preserve">Αυτή η εικόνα δικαιολογεί ανησυχίες για την συνέχιση των πληθωριστικών πιέσεων μέσα από τον φαύλο κύκλο κόστους-σπανιότητας. Έτσι, οι συνθήκες, τόσο στον πρωτογενή τομέα όσο και στη μεταποίηση δεν αναμένεται πως θα αντιστραφούν σημαντικά μέχρι το τέλος του έτους. </w:t>
      </w:r>
    </w:p>
    <w:p w14:paraId="06C09FC3" w14:textId="4F2942C5" w:rsidR="00B47BF2" w:rsidRPr="00472741" w:rsidRDefault="00C76544" w:rsidP="00B47BF2">
      <w:pPr>
        <w:spacing w:before="160"/>
        <w:jc w:val="both"/>
        <w:rPr>
          <w:rFonts w:ascii="Calibri" w:hAnsi="Calibri" w:cs="Calibri"/>
          <w:lang w:val="el-GR"/>
        </w:rPr>
      </w:pPr>
      <w:r>
        <w:rPr>
          <w:rFonts w:ascii="Calibri" w:hAnsi="Calibri" w:cs="Calibri"/>
          <w:noProof/>
        </w:rPr>
        <mc:AlternateContent>
          <mc:Choice Requires="wps">
            <w:drawing>
              <wp:anchor distT="0" distB="0" distL="114300" distR="114300" simplePos="0" relativeHeight="251659264" behindDoc="0" locked="0" layoutInCell="1" allowOverlap="1" wp14:anchorId="7CF36A56" wp14:editId="4140DB4F">
                <wp:simplePos x="0" y="0"/>
                <wp:positionH relativeFrom="column">
                  <wp:posOffset>3907971</wp:posOffset>
                </wp:positionH>
                <wp:positionV relativeFrom="paragraph">
                  <wp:posOffset>1915886</wp:posOffset>
                </wp:positionV>
                <wp:extent cx="1763486" cy="1393371"/>
                <wp:effectExtent l="19050" t="19050" r="27305" b="16510"/>
                <wp:wrapNone/>
                <wp:docPr id="2" name="Oval 2"/>
                <wp:cNvGraphicFramePr/>
                <a:graphic xmlns:a="http://schemas.openxmlformats.org/drawingml/2006/main">
                  <a:graphicData uri="http://schemas.microsoft.com/office/word/2010/wordprocessingShape">
                    <wps:wsp>
                      <wps:cNvSpPr/>
                      <wps:spPr>
                        <a:xfrm>
                          <a:off x="0" y="0"/>
                          <a:ext cx="1763486" cy="1393371"/>
                        </a:xfrm>
                        <a:prstGeom prst="ellipse">
                          <a:avLst/>
                        </a:prstGeom>
                        <a:noFill/>
                        <a:ln w="34925">
                          <a:solidFill>
                            <a:srgbClr val="C0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BF4230" id="Oval 2" o:spid="_x0000_s1026" style="position:absolute;margin-left:307.7pt;margin-top:150.85pt;width:138.85pt;height:10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" filled="f" strokecolor="#c00000" strokeweight="2.75pt">
                <v:stroke dashstyle="1 1" joinstyle="miter"/>
              </v:oval>
            </w:pict>
          </mc:Fallback>
        </mc:AlternateContent>
      </w:r>
      <w:r w:rsidR="00B47BF2" w:rsidRPr="00472741">
        <w:rPr>
          <w:rFonts w:ascii="Calibri" w:hAnsi="Calibri" w:cs="Calibri"/>
          <w:noProof/>
        </w:rPr>
        <w:drawing>
          <wp:inline distT="0" distB="0" distL="0" distR="0" wp14:anchorId="710C8534" wp14:editId="39249E35">
            <wp:extent cx="5731510" cy="3735070"/>
            <wp:effectExtent l="0" t="0" r="2540" b="17780"/>
            <wp:docPr id="42" name="Chart 42">
              <a:extLst xmlns:a="http://schemas.openxmlformats.org/drawingml/2006/main">
                <a:ext uri="{FF2B5EF4-FFF2-40B4-BE49-F238E27FC236}">
                  <a16:creationId xmlns:a16="http://schemas.microsoft.com/office/drawing/2014/main" id="{F4324532-FBD4-5809-F3FE-4454215EDA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6BDA3EE" w14:textId="77777777" w:rsidR="00B47BF2" w:rsidRPr="00472741" w:rsidRDefault="00B47BF2" w:rsidP="00B47BF2">
      <w:pPr>
        <w:spacing w:before="160"/>
        <w:jc w:val="both"/>
        <w:rPr>
          <w:rFonts w:ascii="Calibri" w:hAnsi="Calibri" w:cs="Calibri"/>
          <w:lang w:val="el-GR"/>
        </w:rPr>
      </w:pPr>
      <w:r w:rsidRPr="00472741">
        <w:rPr>
          <w:rFonts w:ascii="Calibri" w:hAnsi="Calibri" w:cs="Calibri"/>
          <w:lang w:val="el-GR"/>
        </w:rPr>
        <w:t xml:space="preserve">Η αλυσίδα τροφοδοσίας και διανομής, ενώ ήταν σε κατάσταση επαναφοράς της μετά την άρση των πιο έντονων φάσεων της κατά τη διάρκεια της Πανδημίας, δέχτηκε νέες πιέσεις μετά τον Φεβρουάριο 2022, ενώ πολιτικές όπως εκείνη των μηδενικών κρουσμάτων στην Κίνα συνεχίζουν να ασκούν πιέσεις στις διεθνείς μεταφορές. Η τάση των κρατών να προχωρούν επίσης σε </w:t>
      </w:r>
      <w:r w:rsidRPr="00472741">
        <w:rPr>
          <w:rFonts w:ascii="Calibri" w:hAnsi="Calibri" w:cs="Calibri"/>
          <w:lang w:val="el-GR"/>
        </w:rPr>
        <w:lastRenderedPageBreak/>
        <w:t xml:space="preserve">πολιτικές προστατευτισμού εν όψει ελλείψεων και συνθηκών σπανιότητας, έχει ασκήσει επιπλέον πιέσεις στην αλυσίδα διανομής. </w:t>
      </w:r>
    </w:p>
    <w:p w14:paraId="5446A741" w14:textId="505170C4" w:rsidR="00B47BF2" w:rsidRPr="00472741" w:rsidRDefault="00B47BF2" w:rsidP="00B47BF2">
      <w:pPr>
        <w:spacing w:before="160"/>
        <w:jc w:val="both"/>
        <w:rPr>
          <w:rFonts w:ascii="Calibri" w:hAnsi="Calibri" w:cs="Calibri"/>
          <w:lang w:val="el-GR"/>
        </w:rPr>
      </w:pPr>
      <w:r w:rsidRPr="00472741">
        <w:rPr>
          <w:rFonts w:ascii="Calibri" w:hAnsi="Calibri" w:cs="Calibri"/>
          <w:lang w:val="el-GR"/>
        </w:rPr>
        <w:t xml:space="preserve">Ανάλυση του </w:t>
      </w:r>
      <w:r w:rsidRPr="00472741">
        <w:rPr>
          <w:rFonts w:ascii="Calibri" w:hAnsi="Calibri" w:cs="Calibri"/>
        </w:rPr>
        <w:t>Fed</w:t>
      </w:r>
      <w:r w:rsidRPr="00472741">
        <w:rPr>
          <w:rFonts w:ascii="Calibri" w:hAnsi="Calibri" w:cs="Calibri"/>
          <w:lang w:val="el-GR"/>
        </w:rPr>
        <w:t xml:space="preserve"> της Νέας Υόρκης, η οποία αναλύει Δείκτη Πιέσεων στην </w:t>
      </w:r>
      <w:r w:rsidR="008D492D">
        <w:rPr>
          <w:rFonts w:ascii="Calibri" w:hAnsi="Calibri" w:cs="Calibri"/>
          <w:lang w:val="el-GR"/>
        </w:rPr>
        <w:t>Α</w:t>
      </w:r>
      <w:r w:rsidRPr="00472741">
        <w:rPr>
          <w:rFonts w:ascii="Calibri" w:hAnsi="Calibri" w:cs="Calibri"/>
          <w:lang w:val="el-GR"/>
        </w:rPr>
        <w:t xml:space="preserve">λυσίδα </w:t>
      </w:r>
      <w:r w:rsidR="008D492D">
        <w:rPr>
          <w:rFonts w:ascii="Calibri" w:hAnsi="Calibri" w:cs="Calibri"/>
          <w:lang w:val="el-GR"/>
        </w:rPr>
        <w:t>Δ</w:t>
      </w:r>
      <w:r w:rsidRPr="00472741">
        <w:rPr>
          <w:rFonts w:ascii="Calibri" w:hAnsi="Calibri" w:cs="Calibri"/>
          <w:lang w:val="el-GR"/>
        </w:rPr>
        <w:t>ιανομής</w:t>
      </w:r>
      <w:r w:rsidRPr="00472741">
        <w:rPr>
          <w:rStyle w:val="FootnoteReference"/>
          <w:rFonts w:ascii="Calibri" w:hAnsi="Calibri" w:cs="Calibri"/>
          <w:lang w:val="el-GR"/>
        </w:rPr>
        <w:footnoteReference w:id="2"/>
      </w:r>
      <w:r w:rsidRPr="00472741">
        <w:rPr>
          <w:rFonts w:ascii="Calibri" w:hAnsi="Calibri" w:cs="Calibri"/>
          <w:lang w:val="el-GR"/>
        </w:rPr>
        <w:t xml:space="preserve">, καταγράφει σημαντικές </w:t>
      </w:r>
      <w:r w:rsidR="008D492D">
        <w:rPr>
          <w:rFonts w:ascii="Calibri" w:hAnsi="Calibri" w:cs="Calibri"/>
          <w:lang w:val="el-GR"/>
        </w:rPr>
        <w:t xml:space="preserve">πιέσεις </w:t>
      </w:r>
      <w:r w:rsidRPr="00472741">
        <w:rPr>
          <w:rFonts w:ascii="Calibri" w:hAnsi="Calibri" w:cs="Calibri"/>
          <w:lang w:val="el-GR"/>
        </w:rPr>
        <w:t xml:space="preserve">στις εν λόγω πιέσεις, με την τάση στην Ευρωζώνη να είναι ήδη αυξητική.  Οι πολιτικές συζητήσεις για επιβολή περιορισμών στις εξαγωγές συνεχίζονται, ενώ έχουν ήδη φτάσει σε απτές περιοριστικές αποφάσεις χώρες όπως την Ινδία (ζάχαρη, σιτηρά), Καζακστάν (σιτηρά), Ινδονησία (φοινικέλαιο), Αργεντινή (βοδινό, σογιέλαιο) και Αλγερία (ζάχαρη). Κατά μία καταμέτρηση του Διεθνούς Νομισματικού Ταμείου, 23 χώρες έχουν ήδη περιορίσει το εμπόριο σε τρόφιμα. </w:t>
      </w:r>
    </w:p>
    <w:p w14:paraId="358B5D3D" w14:textId="1297759A" w:rsidR="00B47BF2" w:rsidRPr="00472741" w:rsidRDefault="00B47BF2" w:rsidP="00B47BF2">
      <w:pPr>
        <w:spacing w:before="160"/>
        <w:jc w:val="both"/>
        <w:rPr>
          <w:rFonts w:ascii="Calibri" w:hAnsi="Calibri" w:cs="Calibri"/>
          <w:lang w:val="el-GR"/>
        </w:rPr>
      </w:pPr>
      <w:r w:rsidRPr="00472741">
        <w:rPr>
          <w:rFonts w:ascii="Calibri" w:hAnsi="Calibri" w:cs="Calibri"/>
          <w:lang w:val="el-GR"/>
        </w:rPr>
        <w:t xml:space="preserve">Την ίδια στιγμή, πέρα από τις πιέσεις που σχετίζονται με τον  συνεχιζόμενο πόλεμο, καταγράφονται πλημμύρες (Κίνα), ξηρασία (ΗΠΑ, </w:t>
      </w:r>
      <w:r w:rsidR="00A65899" w:rsidRPr="00472741">
        <w:rPr>
          <w:rFonts w:ascii="Calibri" w:hAnsi="Calibri" w:cs="Calibri"/>
          <w:lang w:val="el-GR"/>
        </w:rPr>
        <w:t xml:space="preserve">Ν. </w:t>
      </w:r>
      <w:r w:rsidRPr="00472741">
        <w:rPr>
          <w:rFonts w:ascii="Calibri" w:hAnsi="Calibri" w:cs="Calibri"/>
          <w:lang w:val="el-GR"/>
        </w:rPr>
        <w:t xml:space="preserve">Αφρική), καύσωνας (Ινδία) και γενικευμένες περιβαλλοντικές αναταραχές στην παραγωγή αγροτικών προϊόντων. </w:t>
      </w:r>
    </w:p>
    <w:p w14:paraId="081DADCE" w14:textId="578745B9" w:rsidR="00B47BF2" w:rsidRPr="00472741" w:rsidRDefault="00B47BF2" w:rsidP="00B47BF2">
      <w:pPr>
        <w:spacing w:before="160"/>
        <w:jc w:val="both"/>
        <w:rPr>
          <w:rFonts w:ascii="Calibri" w:hAnsi="Calibri" w:cs="Calibri"/>
          <w:lang w:val="el-GR"/>
        </w:rPr>
      </w:pPr>
      <w:r w:rsidRPr="00472741">
        <w:rPr>
          <w:rFonts w:ascii="Calibri" w:hAnsi="Calibri" w:cs="Calibri"/>
          <w:lang w:val="el-GR"/>
        </w:rPr>
        <w:t xml:space="preserve">Η γενικευμένη επισιτιστική πίεση θα έχει πολιτικές προεκτάσεις, με την επιδείνωση των μεταναστευτικών ροών να θεωρείται πλέον δεδομένη, και με εγχώριες αναταραχές να σοβούν σε πολλά σημεία της ευρύτερης περιοχής του </w:t>
      </w:r>
      <w:proofErr w:type="spellStart"/>
      <w:r w:rsidRPr="00472741">
        <w:rPr>
          <w:rFonts w:ascii="Calibri" w:hAnsi="Calibri" w:cs="Calibri"/>
          <w:lang w:val="el-GR"/>
        </w:rPr>
        <w:t>Μαγκρέμπ</w:t>
      </w:r>
      <w:proofErr w:type="spellEnd"/>
      <w:r w:rsidRPr="00472741">
        <w:rPr>
          <w:rFonts w:ascii="Calibri" w:hAnsi="Calibri" w:cs="Calibri"/>
          <w:lang w:val="el-GR"/>
        </w:rPr>
        <w:t xml:space="preserve"> και </w:t>
      </w:r>
      <w:proofErr w:type="spellStart"/>
      <w:r w:rsidRPr="00472741">
        <w:rPr>
          <w:rFonts w:ascii="Calibri" w:hAnsi="Calibri" w:cs="Calibri"/>
          <w:lang w:val="el-GR"/>
        </w:rPr>
        <w:t>Μασρέκ</w:t>
      </w:r>
      <w:proofErr w:type="spellEnd"/>
      <w:r w:rsidRPr="00472741">
        <w:rPr>
          <w:rFonts w:ascii="Calibri" w:hAnsi="Calibri" w:cs="Calibri"/>
          <w:lang w:val="el-GR"/>
        </w:rPr>
        <w:t xml:space="preserve">, περιλαμβανομένου του Μαρόκου, της Αλγερίας, της Αιγύπτου, της Τυνησίας, ακόμα και της σταθερής Ιορδανίας, ενώ η </w:t>
      </w:r>
      <w:proofErr w:type="spellStart"/>
      <w:r w:rsidRPr="00472741">
        <w:rPr>
          <w:rFonts w:ascii="Calibri" w:hAnsi="Calibri" w:cs="Calibri"/>
          <w:lang w:val="el-GR"/>
        </w:rPr>
        <w:t>υποσαχάρια</w:t>
      </w:r>
      <w:proofErr w:type="spellEnd"/>
      <w:r w:rsidRPr="00472741">
        <w:rPr>
          <w:rFonts w:ascii="Calibri" w:hAnsi="Calibri" w:cs="Calibri"/>
          <w:lang w:val="el-GR"/>
        </w:rPr>
        <w:t xml:space="preserve"> Αφρική βρίσκεται κάτω από ακόμα πιο σοβαρές πιέσεις.  </w:t>
      </w:r>
    </w:p>
    <w:p w14:paraId="7B8AAD8F" w14:textId="7AC484D3" w:rsidR="00A65899" w:rsidRPr="00472741" w:rsidRDefault="00A65899" w:rsidP="00B47BF2">
      <w:pPr>
        <w:spacing w:before="160"/>
        <w:jc w:val="both"/>
        <w:rPr>
          <w:rFonts w:ascii="Calibri" w:hAnsi="Calibri" w:cs="Calibri"/>
          <w:lang w:val="el-GR"/>
        </w:rPr>
      </w:pPr>
      <w:r w:rsidRPr="00472741">
        <w:rPr>
          <w:rFonts w:ascii="Calibri" w:hAnsi="Calibri" w:cs="Calibri"/>
          <w:lang w:val="el-GR"/>
        </w:rPr>
        <w:t xml:space="preserve">Πέρα από την γενικευμένη πίεση στην παγκόσμια οικονομία και τις αυξανόμενες </w:t>
      </w:r>
      <w:proofErr w:type="spellStart"/>
      <w:r w:rsidRPr="00472741">
        <w:rPr>
          <w:rFonts w:ascii="Calibri" w:hAnsi="Calibri" w:cs="Calibri"/>
          <w:lang w:val="el-GR"/>
        </w:rPr>
        <w:t>υφεσιακές</w:t>
      </w:r>
      <w:proofErr w:type="spellEnd"/>
      <w:r w:rsidRPr="00472741">
        <w:rPr>
          <w:rFonts w:ascii="Calibri" w:hAnsi="Calibri" w:cs="Calibri"/>
          <w:lang w:val="el-GR"/>
        </w:rPr>
        <w:t xml:space="preserve"> ενδείξεις στις ΗΠΑ, η επισιτιστική κρίση αναμένεται πως θα συνεχίσει να σοβεί</w:t>
      </w:r>
      <w:r w:rsidRPr="00472741">
        <w:rPr>
          <w:rStyle w:val="FootnoteReference"/>
          <w:rFonts w:ascii="Calibri" w:hAnsi="Calibri" w:cs="Calibri"/>
          <w:lang w:val="el-GR"/>
        </w:rPr>
        <w:footnoteReference w:id="3"/>
      </w:r>
      <w:r w:rsidRPr="00472741">
        <w:rPr>
          <w:rFonts w:ascii="Calibri" w:hAnsi="Calibri" w:cs="Calibri"/>
          <w:lang w:val="el-GR"/>
        </w:rPr>
        <w:t xml:space="preserve"> με σημαντική πλέον παράμετρο την πολιτική διάσταση στην ευρύτερη περιοχή της Κύπρου. </w:t>
      </w:r>
    </w:p>
    <w:p w14:paraId="1B5929C7" w14:textId="77777777" w:rsidR="00472741" w:rsidRPr="0066189B" w:rsidRDefault="00A65899" w:rsidP="00472741">
      <w:pPr>
        <w:spacing w:before="160"/>
        <w:jc w:val="both"/>
        <w:rPr>
          <w:rFonts w:ascii="Calibri" w:hAnsi="Calibri" w:cs="Calibri"/>
          <w:b/>
          <w:bCs/>
          <w:i/>
          <w:iCs/>
          <w:lang w:val="el-GR"/>
        </w:rPr>
      </w:pPr>
      <w:r w:rsidRPr="0066189B">
        <w:rPr>
          <w:rFonts w:ascii="Calibri" w:hAnsi="Calibri" w:cs="Calibri"/>
          <w:b/>
          <w:bCs/>
          <w:i/>
          <w:iCs/>
          <w:lang w:val="el-GR"/>
        </w:rPr>
        <w:t xml:space="preserve">Εισήγηση του Δημοσιονομικού Συμβουλίου είναι να ενημερωθούν από αρμόδιους δημόσιους ή ιδιωτικούς φορείς οι επιχειρήσεις σε σχέση με τις </w:t>
      </w:r>
      <w:r w:rsidRPr="0066189B">
        <w:rPr>
          <w:rFonts w:ascii="Calibri" w:hAnsi="Calibri" w:cs="Calibri"/>
          <w:b/>
          <w:bCs/>
          <w:i/>
          <w:iCs/>
          <w:u w:val="single"/>
          <w:lang w:val="el-GR"/>
        </w:rPr>
        <w:t>διαφαινόμενες δυσκολίες</w:t>
      </w:r>
      <w:r w:rsidRPr="0066189B">
        <w:rPr>
          <w:rFonts w:ascii="Calibri" w:hAnsi="Calibri" w:cs="Calibri"/>
          <w:b/>
          <w:bCs/>
          <w:i/>
          <w:iCs/>
          <w:lang w:val="el-GR"/>
        </w:rPr>
        <w:t xml:space="preserve"> </w:t>
      </w:r>
      <w:r w:rsidRPr="0066189B">
        <w:rPr>
          <w:rFonts w:ascii="Calibri" w:hAnsi="Calibri" w:cs="Calibri"/>
          <w:b/>
          <w:bCs/>
          <w:i/>
          <w:iCs/>
          <w:u w:val="single"/>
          <w:lang w:val="el-GR"/>
        </w:rPr>
        <w:t>αλλά και ευκαιρίες</w:t>
      </w:r>
      <w:r w:rsidRPr="0066189B">
        <w:rPr>
          <w:rFonts w:ascii="Calibri" w:hAnsi="Calibri" w:cs="Calibri"/>
          <w:b/>
          <w:bCs/>
          <w:i/>
          <w:iCs/>
          <w:lang w:val="el-GR"/>
        </w:rPr>
        <w:t xml:space="preserve"> που διαφαίνονται από μια όλο και πιο πιθανή πολιτική κρίση στην ευρύτερη περιοχή </w:t>
      </w:r>
      <w:r w:rsidR="00472741" w:rsidRPr="0066189B">
        <w:rPr>
          <w:rFonts w:ascii="Calibri" w:hAnsi="Calibri" w:cs="Calibri"/>
          <w:b/>
          <w:bCs/>
          <w:i/>
          <w:iCs/>
          <w:lang w:val="el-GR"/>
        </w:rPr>
        <w:t xml:space="preserve">της Κύπρου. </w:t>
      </w:r>
    </w:p>
    <w:p w14:paraId="42ADA819" w14:textId="5BBFFCAC" w:rsidR="00A65899" w:rsidRPr="00472741" w:rsidRDefault="00472741" w:rsidP="00472741">
      <w:pPr>
        <w:spacing w:before="160"/>
        <w:jc w:val="both"/>
        <w:rPr>
          <w:lang w:val="el-GR"/>
        </w:rPr>
      </w:pPr>
      <w:r w:rsidRPr="00472741">
        <w:rPr>
          <w:rFonts w:ascii="Calibri" w:hAnsi="Calibri" w:cs="Calibri"/>
          <w:lang w:val="el-GR"/>
        </w:rPr>
        <w:t>Στόχος</w:t>
      </w:r>
      <w:r w:rsidR="00A65899" w:rsidRPr="00472741">
        <w:rPr>
          <w:lang w:val="el-GR"/>
        </w:rPr>
        <w:t xml:space="preserve"> </w:t>
      </w:r>
      <w:r>
        <w:rPr>
          <w:lang w:val="el-GR"/>
        </w:rPr>
        <w:t xml:space="preserve">μιας </w:t>
      </w:r>
      <w:r w:rsidR="00A65899" w:rsidRPr="00472741">
        <w:rPr>
          <w:lang w:val="el-GR"/>
        </w:rPr>
        <w:t>τέτοι</w:t>
      </w:r>
      <w:r w:rsidRPr="00472741">
        <w:rPr>
          <w:lang w:val="el-GR"/>
        </w:rPr>
        <w:t>α</w:t>
      </w:r>
      <w:r w:rsidR="00A65899" w:rsidRPr="00472741">
        <w:rPr>
          <w:lang w:val="el-GR"/>
        </w:rPr>
        <w:t xml:space="preserve">ς ενημέρωσης θα πρέπει </w:t>
      </w:r>
      <w:r>
        <w:rPr>
          <w:lang w:val="el-GR"/>
        </w:rPr>
        <w:t xml:space="preserve">η </w:t>
      </w:r>
      <w:proofErr w:type="spellStart"/>
      <w:r>
        <w:rPr>
          <w:lang w:val="el-GR"/>
        </w:rPr>
        <w:t>στοχευμένη</w:t>
      </w:r>
      <w:proofErr w:type="spellEnd"/>
      <w:r>
        <w:rPr>
          <w:lang w:val="el-GR"/>
        </w:rPr>
        <w:t xml:space="preserve"> ενημέρωση επιχειρήσεων που δυνητικά θα επηρεαστούν, </w:t>
      </w:r>
      <w:r w:rsidR="00C83343">
        <w:rPr>
          <w:lang w:val="el-GR"/>
        </w:rPr>
        <w:t xml:space="preserve">με βάση τον </w:t>
      </w:r>
      <w:r w:rsidR="00A65899" w:rsidRPr="00472741">
        <w:rPr>
          <w:lang w:val="el-GR"/>
        </w:rPr>
        <w:t xml:space="preserve">σαφή εντοπισμό των οικονομιών </w:t>
      </w:r>
      <w:r>
        <w:rPr>
          <w:lang w:val="el-GR"/>
        </w:rPr>
        <w:t>οι οποίες</w:t>
      </w:r>
      <w:r w:rsidR="00A65899" w:rsidRPr="00472741">
        <w:rPr>
          <w:lang w:val="el-GR"/>
        </w:rPr>
        <w:t xml:space="preserve"> αναμένεται να βιώσουν πολιτικές αναταραχές, καθώς και η διασαφήνιση των κινδύνων και ευκαιριών που </w:t>
      </w:r>
      <w:r w:rsidRPr="00472741">
        <w:rPr>
          <w:lang w:val="el-GR"/>
        </w:rPr>
        <w:t>αναδύονται</w:t>
      </w:r>
      <w:r>
        <w:rPr>
          <w:lang w:val="el-GR"/>
        </w:rPr>
        <w:t xml:space="preserve">. </w:t>
      </w:r>
      <w:r w:rsidR="00A65899" w:rsidRPr="00472741">
        <w:rPr>
          <w:lang w:val="el-GR"/>
        </w:rPr>
        <w:t xml:space="preserve"> </w:t>
      </w:r>
    </w:p>
    <w:sectPr w:rsidR="00A65899" w:rsidRPr="00472741">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8BBFA" w14:textId="77777777" w:rsidR="00A26B32" w:rsidRDefault="00A26B32" w:rsidP="00B47BF2">
      <w:r>
        <w:separator/>
      </w:r>
    </w:p>
  </w:endnote>
  <w:endnote w:type="continuationSeparator" w:id="0">
    <w:p w14:paraId="7862DA51" w14:textId="77777777" w:rsidR="00A26B32" w:rsidRDefault="00A26B32" w:rsidP="00B47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4D755" w14:textId="77777777" w:rsidR="00A26B32" w:rsidRDefault="00A26B32" w:rsidP="00B47BF2">
      <w:r>
        <w:separator/>
      </w:r>
    </w:p>
  </w:footnote>
  <w:footnote w:type="continuationSeparator" w:id="0">
    <w:p w14:paraId="65365535" w14:textId="77777777" w:rsidR="00A26B32" w:rsidRDefault="00A26B32" w:rsidP="00B47BF2">
      <w:r>
        <w:continuationSeparator/>
      </w:r>
    </w:p>
  </w:footnote>
  <w:footnote w:id="1">
    <w:p w14:paraId="4413330C" w14:textId="39393A34" w:rsidR="00B47BF2" w:rsidRPr="00F23D14" w:rsidRDefault="00B47BF2" w:rsidP="00B47BF2">
      <w:pPr>
        <w:pStyle w:val="FootnoteText"/>
        <w:rPr>
          <w:sz w:val="18"/>
          <w:szCs w:val="18"/>
          <w:lang w:val="el-GR"/>
        </w:rPr>
      </w:pPr>
      <w:r w:rsidRPr="00F23D14">
        <w:rPr>
          <w:rStyle w:val="FootnoteReference"/>
          <w:sz w:val="18"/>
          <w:szCs w:val="18"/>
        </w:rPr>
        <w:footnoteRef/>
      </w:r>
      <w:r w:rsidRPr="00F23D14">
        <w:rPr>
          <w:sz w:val="18"/>
          <w:szCs w:val="18"/>
          <w:lang w:val="el-GR"/>
        </w:rPr>
        <w:t xml:space="preserve"> Ήδη διαφαίνονται </w:t>
      </w:r>
      <w:r w:rsidR="00A9505A">
        <w:rPr>
          <w:sz w:val="18"/>
          <w:szCs w:val="18"/>
          <w:lang w:val="el-GR"/>
        </w:rPr>
        <w:t xml:space="preserve">αρχικές </w:t>
      </w:r>
      <w:r w:rsidRPr="00F23D14">
        <w:rPr>
          <w:sz w:val="18"/>
          <w:szCs w:val="18"/>
          <w:lang w:val="el-GR"/>
        </w:rPr>
        <w:t>πολιτικές πιέσεις σε χώρες όπως την Τυνησία, την Αίγυπτο</w:t>
      </w:r>
      <w:r w:rsidR="00A9505A">
        <w:rPr>
          <w:sz w:val="18"/>
          <w:szCs w:val="18"/>
          <w:lang w:val="el-GR"/>
        </w:rPr>
        <w:t xml:space="preserve">, </w:t>
      </w:r>
      <w:r w:rsidRPr="00F23D14">
        <w:rPr>
          <w:sz w:val="18"/>
          <w:szCs w:val="18"/>
          <w:lang w:val="el-GR"/>
        </w:rPr>
        <w:t>την Ιορδανία</w:t>
      </w:r>
      <w:r w:rsidR="00A9505A">
        <w:rPr>
          <w:sz w:val="18"/>
          <w:szCs w:val="18"/>
          <w:lang w:val="el-GR"/>
        </w:rPr>
        <w:t xml:space="preserve"> και φυσικά τον Λίβανο. </w:t>
      </w:r>
    </w:p>
  </w:footnote>
  <w:footnote w:id="2">
    <w:p w14:paraId="2F9A3E82" w14:textId="2576D326" w:rsidR="00B47BF2" w:rsidRPr="00F23D14" w:rsidRDefault="00B47BF2" w:rsidP="00B47BF2">
      <w:pPr>
        <w:pStyle w:val="FootnoteText"/>
        <w:rPr>
          <w:sz w:val="18"/>
          <w:szCs w:val="18"/>
        </w:rPr>
      </w:pPr>
      <w:r w:rsidRPr="00F23D14">
        <w:rPr>
          <w:rStyle w:val="FootnoteReference"/>
          <w:sz w:val="18"/>
          <w:szCs w:val="18"/>
        </w:rPr>
        <w:footnoteRef/>
      </w:r>
      <w:r w:rsidRPr="00F23D14">
        <w:rPr>
          <w:sz w:val="18"/>
          <w:szCs w:val="18"/>
        </w:rPr>
        <w:t xml:space="preserve"> </w:t>
      </w:r>
      <w:r w:rsidRPr="00F23D14">
        <w:rPr>
          <w:rFonts w:ascii="Calibri" w:eastAsia="Times New Roman" w:hAnsi="Calibri" w:cs="Calibri"/>
          <w:color w:val="000000"/>
          <w:sz w:val="18"/>
          <w:szCs w:val="18"/>
          <w:lang w:eastAsia="en-GB"/>
        </w:rPr>
        <w:t xml:space="preserve">Gianluca </w:t>
      </w:r>
      <w:proofErr w:type="spellStart"/>
      <w:r w:rsidRPr="00F23D14">
        <w:rPr>
          <w:rFonts w:ascii="Calibri" w:eastAsia="Times New Roman" w:hAnsi="Calibri" w:cs="Calibri"/>
          <w:color w:val="000000"/>
          <w:sz w:val="18"/>
          <w:szCs w:val="18"/>
          <w:lang w:eastAsia="en-GB"/>
        </w:rPr>
        <w:t>Benigno</w:t>
      </w:r>
      <w:proofErr w:type="spellEnd"/>
      <w:r w:rsidRPr="00F23D14">
        <w:rPr>
          <w:rFonts w:ascii="Calibri" w:eastAsia="Times New Roman" w:hAnsi="Calibri" w:cs="Calibri"/>
          <w:color w:val="000000"/>
          <w:sz w:val="18"/>
          <w:szCs w:val="18"/>
          <w:lang w:eastAsia="en-GB"/>
        </w:rPr>
        <w:t>, Julian di Giovanni, Jan J. J. Groen, and Adam I. Noble, “Global Supply Chain Pressure Index: March 2022 Update” Federal Reserve Bank of New York Liberty Street Economics, March 3, 2022, https://libertystreeteonomics.newyorkfed.org/2022/03/global-supply-chain-pressure-index-march-2022-update/.</w:t>
      </w:r>
    </w:p>
  </w:footnote>
  <w:footnote w:id="3">
    <w:p w14:paraId="492FBC39" w14:textId="264ECF96" w:rsidR="00A65899" w:rsidRPr="00A65899" w:rsidRDefault="00A65899">
      <w:pPr>
        <w:pStyle w:val="FootnoteText"/>
        <w:rPr>
          <w:lang w:val="el-GR"/>
        </w:rPr>
      </w:pPr>
      <w:r>
        <w:rPr>
          <w:rStyle w:val="FootnoteReference"/>
        </w:rPr>
        <w:footnoteRef/>
      </w:r>
      <w:r w:rsidRPr="00A65899">
        <w:rPr>
          <w:lang w:val="el-GR"/>
        </w:rPr>
        <w:t xml:space="preserve"> </w:t>
      </w:r>
      <w:r>
        <w:rPr>
          <w:lang w:val="el-GR"/>
        </w:rPr>
        <w:t xml:space="preserve">Βλέπε: Ενδιάμεση Έκθεση Δημοσιονομικού Συμβουλίου Κύπρου, Ιούνιος 2022.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208AA" w14:textId="03D26EDC" w:rsidR="00BB0129" w:rsidRDefault="00BB0129" w:rsidP="00BB0129">
    <w:pPr>
      <w:pStyle w:val="Header"/>
      <w:jc w:val="center"/>
    </w:pPr>
    <w:r w:rsidRPr="00BF3A76">
      <w:rPr>
        <w:rFonts w:ascii="Calibri" w:eastAsia="Calibri" w:hAnsi="Calibri" w:cs="Times New Roman"/>
        <w:noProof/>
        <w:lang w:eastAsia="el-GR"/>
      </w:rPr>
      <w:drawing>
        <wp:inline distT="0" distB="0" distL="0" distR="0" wp14:anchorId="4DC5FF1C" wp14:editId="3FD8B1A2">
          <wp:extent cx="1034502" cy="82169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0208" cy="826223"/>
                  </a:xfrm>
                  <a:prstGeom prst="rect">
                    <a:avLst/>
                  </a:prstGeom>
                  <a:noFill/>
                  <a:ln>
                    <a:noFill/>
                  </a:ln>
                </pic:spPr>
              </pic:pic>
            </a:graphicData>
          </a:graphic>
        </wp:inline>
      </w:drawing>
    </w:r>
  </w:p>
  <w:p w14:paraId="2B9D474C" w14:textId="77777777" w:rsidR="00BB0129" w:rsidRDefault="00BB012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BF2"/>
    <w:rsid w:val="00220E6C"/>
    <w:rsid w:val="00472741"/>
    <w:rsid w:val="0049065B"/>
    <w:rsid w:val="0066189B"/>
    <w:rsid w:val="007904A1"/>
    <w:rsid w:val="00832C91"/>
    <w:rsid w:val="008D492D"/>
    <w:rsid w:val="009D4A7E"/>
    <w:rsid w:val="00A26B32"/>
    <w:rsid w:val="00A65899"/>
    <w:rsid w:val="00A9505A"/>
    <w:rsid w:val="00AB34CD"/>
    <w:rsid w:val="00B47BF2"/>
    <w:rsid w:val="00BB0129"/>
    <w:rsid w:val="00C76544"/>
    <w:rsid w:val="00C83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9F5E4"/>
  <w15:chartTrackingRefBased/>
  <w15:docId w15:val="{8C3D1AB2-752F-4DD7-B51B-E3F21593C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BF2"/>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47BF2"/>
    <w:rPr>
      <w:sz w:val="20"/>
      <w:szCs w:val="20"/>
    </w:rPr>
  </w:style>
  <w:style w:type="character" w:customStyle="1" w:styleId="FootnoteTextChar">
    <w:name w:val="Footnote Text Char"/>
    <w:basedOn w:val="DefaultParagraphFont"/>
    <w:link w:val="FootnoteText"/>
    <w:uiPriority w:val="99"/>
    <w:semiHidden/>
    <w:rsid w:val="00B47BF2"/>
    <w:rPr>
      <w:rFonts w:eastAsiaTheme="minorEastAsia"/>
      <w:sz w:val="20"/>
      <w:szCs w:val="20"/>
    </w:rPr>
  </w:style>
  <w:style w:type="character" w:styleId="FootnoteReference">
    <w:name w:val="footnote reference"/>
    <w:basedOn w:val="DefaultParagraphFont"/>
    <w:uiPriority w:val="99"/>
    <w:semiHidden/>
    <w:unhideWhenUsed/>
    <w:rsid w:val="00B47BF2"/>
    <w:rPr>
      <w:vertAlign w:val="superscript"/>
    </w:rPr>
  </w:style>
  <w:style w:type="paragraph" w:styleId="Header">
    <w:name w:val="header"/>
    <w:basedOn w:val="Normal"/>
    <w:link w:val="HeaderChar"/>
    <w:uiPriority w:val="99"/>
    <w:unhideWhenUsed/>
    <w:rsid w:val="00BB0129"/>
    <w:pPr>
      <w:tabs>
        <w:tab w:val="center" w:pos="4680"/>
        <w:tab w:val="right" w:pos="9360"/>
      </w:tabs>
    </w:pPr>
  </w:style>
  <w:style w:type="character" w:customStyle="1" w:styleId="HeaderChar">
    <w:name w:val="Header Char"/>
    <w:basedOn w:val="DefaultParagraphFont"/>
    <w:link w:val="Header"/>
    <w:uiPriority w:val="99"/>
    <w:rsid w:val="00BB0129"/>
    <w:rPr>
      <w:rFonts w:eastAsiaTheme="minorEastAsia"/>
      <w:sz w:val="24"/>
      <w:szCs w:val="24"/>
    </w:rPr>
  </w:style>
  <w:style w:type="paragraph" w:styleId="Footer">
    <w:name w:val="footer"/>
    <w:basedOn w:val="Normal"/>
    <w:link w:val="FooterChar"/>
    <w:uiPriority w:val="99"/>
    <w:unhideWhenUsed/>
    <w:rsid w:val="00BB0129"/>
    <w:pPr>
      <w:tabs>
        <w:tab w:val="center" w:pos="4680"/>
        <w:tab w:val="right" w:pos="9360"/>
      </w:tabs>
    </w:pPr>
  </w:style>
  <w:style w:type="character" w:customStyle="1" w:styleId="FooterChar">
    <w:name w:val="Footer Char"/>
    <w:basedOn w:val="DefaultParagraphFont"/>
    <w:link w:val="Footer"/>
    <w:uiPriority w:val="99"/>
    <w:rsid w:val="00BB0129"/>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0"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l-GR" sz="900" b="1"/>
              <a:t>Δείκτης</a:t>
            </a:r>
            <a:r>
              <a:rPr lang="el-GR" sz="900" b="1" baseline="0"/>
              <a:t> τιμών τορφίμων, τελευταία 30 χρόνια </a:t>
            </a:r>
          </a:p>
          <a:p>
            <a:pPr>
              <a:defRPr sz="700"/>
            </a:pPr>
            <a:r>
              <a:rPr lang="el-GR" sz="900" b="1" baseline="0"/>
              <a:t>Παγκόσμια Τράπεζα</a:t>
            </a:r>
            <a:endParaRPr lang="en-US" sz="900" b="1"/>
          </a:p>
        </c:rich>
      </c:tx>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dPt>
            <c:idx val="0"/>
            <c:marker>
              <c:symbol val="none"/>
            </c:marker>
            <c:bubble3D val="0"/>
            <c:spPr>
              <a:ln w="28575" cap="rnd">
                <a:solidFill>
                  <a:srgbClr val="FF0000"/>
                </a:solidFill>
                <a:round/>
              </a:ln>
              <a:effectLst/>
            </c:spPr>
            <c:extLst>
              <c:ext xmlns:c16="http://schemas.microsoft.com/office/drawing/2014/chart" uri="{C3380CC4-5D6E-409C-BE32-E72D297353CC}">
                <c16:uniqueId val="{00000000-3BE6-4423-80DA-D8BD01477149}"/>
              </c:ext>
            </c:extLst>
          </c:dPt>
          <c:dPt>
            <c:idx val="196"/>
            <c:marker>
              <c:symbol val="none"/>
            </c:marker>
            <c:bubble3D val="0"/>
            <c:spPr>
              <a:ln w="28575" cap="rnd">
                <a:solidFill>
                  <a:srgbClr val="FF0000"/>
                </a:solidFill>
                <a:round/>
              </a:ln>
              <a:effectLst/>
            </c:spPr>
            <c:extLst>
              <c:ext xmlns:c16="http://schemas.microsoft.com/office/drawing/2014/chart" uri="{C3380CC4-5D6E-409C-BE32-E72D297353CC}">
                <c16:uniqueId val="{00000001-3BE6-4423-80DA-D8BD01477149}"/>
              </c:ext>
            </c:extLst>
          </c:dPt>
          <c:cat>
            <c:strRef>
              <c:f>'Monthly Indices'!$A$395:$A$758</c:f>
              <c:strCache>
                <c:ptCount val="364"/>
                <c:pt idx="0">
                  <c:v>1992M01</c:v>
                </c:pt>
                <c:pt idx="1">
                  <c:v>1992M02</c:v>
                </c:pt>
                <c:pt idx="2">
                  <c:v>1992M03</c:v>
                </c:pt>
                <c:pt idx="3">
                  <c:v>1992M04</c:v>
                </c:pt>
                <c:pt idx="4">
                  <c:v>1992M05</c:v>
                </c:pt>
                <c:pt idx="5">
                  <c:v>1992M06</c:v>
                </c:pt>
                <c:pt idx="6">
                  <c:v>1992M07</c:v>
                </c:pt>
                <c:pt idx="7">
                  <c:v>1992M08</c:v>
                </c:pt>
                <c:pt idx="8">
                  <c:v>1992M09</c:v>
                </c:pt>
                <c:pt idx="9">
                  <c:v>1992M10</c:v>
                </c:pt>
                <c:pt idx="10">
                  <c:v>1992M11</c:v>
                </c:pt>
                <c:pt idx="11">
                  <c:v>1992M12</c:v>
                </c:pt>
                <c:pt idx="12">
                  <c:v>1993M01</c:v>
                </c:pt>
                <c:pt idx="13">
                  <c:v>1993M02</c:v>
                </c:pt>
                <c:pt idx="14">
                  <c:v>1993M03</c:v>
                </c:pt>
                <c:pt idx="15">
                  <c:v>1993M04</c:v>
                </c:pt>
                <c:pt idx="16">
                  <c:v>1993M05</c:v>
                </c:pt>
                <c:pt idx="17">
                  <c:v>1993M06</c:v>
                </c:pt>
                <c:pt idx="18">
                  <c:v>1993M07</c:v>
                </c:pt>
                <c:pt idx="19">
                  <c:v>1993M08</c:v>
                </c:pt>
                <c:pt idx="20">
                  <c:v>1993M09</c:v>
                </c:pt>
                <c:pt idx="21">
                  <c:v>1993M10</c:v>
                </c:pt>
                <c:pt idx="22">
                  <c:v>1993M11</c:v>
                </c:pt>
                <c:pt idx="23">
                  <c:v>1993M12</c:v>
                </c:pt>
                <c:pt idx="24">
                  <c:v>1994M01</c:v>
                </c:pt>
                <c:pt idx="25">
                  <c:v>1994M02</c:v>
                </c:pt>
                <c:pt idx="26">
                  <c:v>1994M03</c:v>
                </c:pt>
                <c:pt idx="27">
                  <c:v>1994M04</c:v>
                </c:pt>
                <c:pt idx="28">
                  <c:v>1994M05</c:v>
                </c:pt>
                <c:pt idx="29">
                  <c:v>1994M06</c:v>
                </c:pt>
                <c:pt idx="30">
                  <c:v>1994M07</c:v>
                </c:pt>
                <c:pt idx="31">
                  <c:v>1994M08</c:v>
                </c:pt>
                <c:pt idx="32">
                  <c:v>1994M09</c:v>
                </c:pt>
                <c:pt idx="33">
                  <c:v>1994M10</c:v>
                </c:pt>
                <c:pt idx="34">
                  <c:v>1994M11</c:v>
                </c:pt>
                <c:pt idx="35">
                  <c:v>1994M12</c:v>
                </c:pt>
                <c:pt idx="36">
                  <c:v>1995M01</c:v>
                </c:pt>
                <c:pt idx="37">
                  <c:v>1995M02</c:v>
                </c:pt>
                <c:pt idx="38">
                  <c:v>1995M03</c:v>
                </c:pt>
                <c:pt idx="39">
                  <c:v>1995M04</c:v>
                </c:pt>
                <c:pt idx="40">
                  <c:v>1995M05</c:v>
                </c:pt>
                <c:pt idx="41">
                  <c:v>1995M06</c:v>
                </c:pt>
                <c:pt idx="42">
                  <c:v>1995M07</c:v>
                </c:pt>
                <c:pt idx="43">
                  <c:v>1995M08</c:v>
                </c:pt>
                <c:pt idx="44">
                  <c:v>1995M09</c:v>
                </c:pt>
                <c:pt idx="45">
                  <c:v>1995M10</c:v>
                </c:pt>
                <c:pt idx="46">
                  <c:v>1995M11</c:v>
                </c:pt>
                <c:pt idx="47">
                  <c:v>1995M12</c:v>
                </c:pt>
                <c:pt idx="48">
                  <c:v>1996M01</c:v>
                </c:pt>
                <c:pt idx="49">
                  <c:v>1996M02</c:v>
                </c:pt>
                <c:pt idx="50">
                  <c:v>1996M03</c:v>
                </c:pt>
                <c:pt idx="51">
                  <c:v>1996M04</c:v>
                </c:pt>
                <c:pt idx="52">
                  <c:v>1996M05</c:v>
                </c:pt>
                <c:pt idx="53">
                  <c:v>1996M06</c:v>
                </c:pt>
                <c:pt idx="54">
                  <c:v>1996M07</c:v>
                </c:pt>
                <c:pt idx="55">
                  <c:v>1996M08</c:v>
                </c:pt>
                <c:pt idx="56">
                  <c:v>1996M09</c:v>
                </c:pt>
                <c:pt idx="57">
                  <c:v>1996M10</c:v>
                </c:pt>
                <c:pt idx="58">
                  <c:v>1996M11</c:v>
                </c:pt>
                <c:pt idx="59">
                  <c:v>1996M12</c:v>
                </c:pt>
                <c:pt idx="60">
                  <c:v>1997M01</c:v>
                </c:pt>
                <c:pt idx="61">
                  <c:v>1997M02</c:v>
                </c:pt>
                <c:pt idx="62">
                  <c:v>1997M03</c:v>
                </c:pt>
                <c:pt idx="63">
                  <c:v>1997M04</c:v>
                </c:pt>
                <c:pt idx="64">
                  <c:v>1997M05</c:v>
                </c:pt>
                <c:pt idx="65">
                  <c:v>1997M06</c:v>
                </c:pt>
                <c:pt idx="66">
                  <c:v>1997M07</c:v>
                </c:pt>
                <c:pt idx="67">
                  <c:v>1997M08</c:v>
                </c:pt>
                <c:pt idx="68">
                  <c:v>1997M09</c:v>
                </c:pt>
                <c:pt idx="69">
                  <c:v>1997M10</c:v>
                </c:pt>
                <c:pt idx="70">
                  <c:v>1997M11</c:v>
                </c:pt>
                <c:pt idx="71">
                  <c:v>1997M12</c:v>
                </c:pt>
                <c:pt idx="72">
                  <c:v>1998M01</c:v>
                </c:pt>
                <c:pt idx="73">
                  <c:v>1998M02</c:v>
                </c:pt>
                <c:pt idx="74">
                  <c:v>1998M03</c:v>
                </c:pt>
                <c:pt idx="75">
                  <c:v>1998M04</c:v>
                </c:pt>
                <c:pt idx="76">
                  <c:v>1998M05</c:v>
                </c:pt>
                <c:pt idx="77">
                  <c:v>1998M06</c:v>
                </c:pt>
                <c:pt idx="78">
                  <c:v>1998M07</c:v>
                </c:pt>
                <c:pt idx="79">
                  <c:v>1998M08</c:v>
                </c:pt>
                <c:pt idx="80">
                  <c:v>1998M09</c:v>
                </c:pt>
                <c:pt idx="81">
                  <c:v>1998M10</c:v>
                </c:pt>
                <c:pt idx="82">
                  <c:v>1998M11</c:v>
                </c:pt>
                <c:pt idx="83">
                  <c:v>1998M12</c:v>
                </c:pt>
                <c:pt idx="84">
                  <c:v>1999M01</c:v>
                </c:pt>
                <c:pt idx="85">
                  <c:v>1999M02</c:v>
                </c:pt>
                <c:pt idx="86">
                  <c:v>1999M03</c:v>
                </c:pt>
                <c:pt idx="87">
                  <c:v>1999M04</c:v>
                </c:pt>
                <c:pt idx="88">
                  <c:v>1999M05</c:v>
                </c:pt>
                <c:pt idx="89">
                  <c:v>1999M06</c:v>
                </c:pt>
                <c:pt idx="90">
                  <c:v>1999M07</c:v>
                </c:pt>
                <c:pt idx="91">
                  <c:v>1999M08</c:v>
                </c:pt>
                <c:pt idx="92">
                  <c:v>1999M09</c:v>
                </c:pt>
                <c:pt idx="93">
                  <c:v>1999M10</c:v>
                </c:pt>
                <c:pt idx="94">
                  <c:v>1999M11</c:v>
                </c:pt>
                <c:pt idx="95">
                  <c:v>1999M12</c:v>
                </c:pt>
                <c:pt idx="96">
                  <c:v>2000M01</c:v>
                </c:pt>
                <c:pt idx="97">
                  <c:v>2000M02</c:v>
                </c:pt>
                <c:pt idx="98">
                  <c:v>2000M03</c:v>
                </c:pt>
                <c:pt idx="99">
                  <c:v>2000M04</c:v>
                </c:pt>
                <c:pt idx="100">
                  <c:v>2000M05</c:v>
                </c:pt>
                <c:pt idx="101">
                  <c:v>2000M06</c:v>
                </c:pt>
                <c:pt idx="102">
                  <c:v>2000M07</c:v>
                </c:pt>
                <c:pt idx="103">
                  <c:v>2000M08</c:v>
                </c:pt>
                <c:pt idx="104">
                  <c:v>2000M09</c:v>
                </c:pt>
                <c:pt idx="105">
                  <c:v>2000M10</c:v>
                </c:pt>
                <c:pt idx="106">
                  <c:v>2000M11</c:v>
                </c:pt>
                <c:pt idx="107">
                  <c:v>2000M12</c:v>
                </c:pt>
                <c:pt idx="108">
                  <c:v>2001M01</c:v>
                </c:pt>
                <c:pt idx="109">
                  <c:v>2001M02</c:v>
                </c:pt>
                <c:pt idx="110">
                  <c:v>2001M03</c:v>
                </c:pt>
                <c:pt idx="111">
                  <c:v>2001M04</c:v>
                </c:pt>
                <c:pt idx="112">
                  <c:v>2001M05</c:v>
                </c:pt>
                <c:pt idx="113">
                  <c:v>2001M06</c:v>
                </c:pt>
                <c:pt idx="114">
                  <c:v>2001M07</c:v>
                </c:pt>
                <c:pt idx="115">
                  <c:v>2001M08</c:v>
                </c:pt>
                <c:pt idx="116">
                  <c:v>2001M09</c:v>
                </c:pt>
                <c:pt idx="117">
                  <c:v>2001M10</c:v>
                </c:pt>
                <c:pt idx="118">
                  <c:v>2001M11</c:v>
                </c:pt>
                <c:pt idx="119">
                  <c:v>2001M12</c:v>
                </c:pt>
                <c:pt idx="120">
                  <c:v>2002M01</c:v>
                </c:pt>
                <c:pt idx="121">
                  <c:v>2002M02</c:v>
                </c:pt>
                <c:pt idx="122">
                  <c:v>2002M03</c:v>
                </c:pt>
                <c:pt idx="123">
                  <c:v>2002M04</c:v>
                </c:pt>
                <c:pt idx="124">
                  <c:v>2002M05</c:v>
                </c:pt>
                <c:pt idx="125">
                  <c:v>2002M06</c:v>
                </c:pt>
                <c:pt idx="126">
                  <c:v>2002M07</c:v>
                </c:pt>
                <c:pt idx="127">
                  <c:v>2002M08</c:v>
                </c:pt>
                <c:pt idx="128">
                  <c:v>2002M09</c:v>
                </c:pt>
                <c:pt idx="129">
                  <c:v>2002M10</c:v>
                </c:pt>
                <c:pt idx="130">
                  <c:v>2002M11</c:v>
                </c:pt>
                <c:pt idx="131">
                  <c:v>2002M12</c:v>
                </c:pt>
                <c:pt idx="132">
                  <c:v>2003M01</c:v>
                </c:pt>
                <c:pt idx="133">
                  <c:v>2003M02</c:v>
                </c:pt>
                <c:pt idx="134">
                  <c:v>2003M03</c:v>
                </c:pt>
                <c:pt idx="135">
                  <c:v>2003M04</c:v>
                </c:pt>
                <c:pt idx="136">
                  <c:v>2003M05</c:v>
                </c:pt>
                <c:pt idx="137">
                  <c:v>2003M06</c:v>
                </c:pt>
                <c:pt idx="138">
                  <c:v>2003M07</c:v>
                </c:pt>
                <c:pt idx="139">
                  <c:v>2003M08</c:v>
                </c:pt>
                <c:pt idx="140">
                  <c:v>2003M09</c:v>
                </c:pt>
                <c:pt idx="141">
                  <c:v>2003M10</c:v>
                </c:pt>
                <c:pt idx="142">
                  <c:v>2003M11</c:v>
                </c:pt>
                <c:pt idx="143">
                  <c:v>2003M12</c:v>
                </c:pt>
                <c:pt idx="144">
                  <c:v>2004M01</c:v>
                </c:pt>
                <c:pt idx="145">
                  <c:v>2004M02</c:v>
                </c:pt>
                <c:pt idx="146">
                  <c:v>2004M03</c:v>
                </c:pt>
                <c:pt idx="147">
                  <c:v>2004M04</c:v>
                </c:pt>
                <c:pt idx="148">
                  <c:v>2004M05</c:v>
                </c:pt>
                <c:pt idx="149">
                  <c:v>2004M06</c:v>
                </c:pt>
                <c:pt idx="150">
                  <c:v>2004M07</c:v>
                </c:pt>
                <c:pt idx="151">
                  <c:v>2004M08</c:v>
                </c:pt>
                <c:pt idx="152">
                  <c:v>2004M09</c:v>
                </c:pt>
                <c:pt idx="153">
                  <c:v>2004M10</c:v>
                </c:pt>
                <c:pt idx="154">
                  <c:v>2004M11</c:v>
                </c:pt>
                <c:pt idx="155">
                  <c:v>2004M12</c:v>
                </c:pt>
                <c:pt idx="156">
                  <c:v>2005M01</c:v>
                </c:pt>
                <c:pt idx="157">
                  <c:v>2005M02</c:v>
                </c:pt>
                <c:pt idx="158">
                  <c:v>2005M03</c:v>
                </c:pt>
                <c:pt idx="159">
                  <c:v>2005M04</c:v>
                </c:pt>
                <c:pt idx="160">
                  <c:v>2005M05</c:v>
                </c:pt>
                <c:pt idx="161">
                  <c:v>2005M06</c:v>
                </c:pt>
                <c:pt idx="162">
                  <c:v>2005M07</c:v>
                </c:pt>
                <c:pt idx="163">
                  <c:v>2005M08</c:v>
                </c:pt>
                <c:pt idx="164">
                  <c:v>2005M09</c:v>
                </c:pt>
                <c:pt idx="165">
                  <c:v>2005M10</c:v>
                </c:pt>
                <c:pt idx="166">
                  <c:v>2005M11</c:v>
                </c:pt>
                <c:pt idx="167">
                  <c:v>2005M12</c:v>
                </c:pt>
                <c:pt idx="168">
                  <c:v>2006M01</c:v>
                </c:pt>
                <c:pt idx="169">
                  <c:v>2006M02</c:v>
                </c:pt>
                <c:pt idx="170">
                  <c:v>2006M03</c:v>
                </c:pt>
                <c:pt idx="171">
                  <c:v>2006M04</c:v>
                </c:pt>
                <c:pt idx="172">
                  <c:v>2006M05</c:v>
                </c:pt>
                <c:pt idx="173">
                  <c:v>2006M06</c:v>
                </c:pt>
                <c:pt idx="174">
                  <c:v>2006M07</c:v>
                </c:pt>
                <c:pt idx="175">
                  <c:v>2006M08</c:v>
                </c:pt>
                <c:pt idx="176">
                  <c:v>2006M09</c:v>
                </c:pt>
                <c:pt idx="177">
                  <c:v>2006M10</c:v>
                </c:pt>
                <c:pt idx="178">
                  <c:v>2006M11</c:v>
                </c:pt>
                <c:pt idx="179">
                  <c:v>2006M12</c:v>
                </c:pt>
                <c:pt idx="180">
                  <c:v>2007M01</c:v>
                </c:pt>
                <c:pt idx="181">
                  <c:v>2007M02</c:v>
                </c:pt>
                <c:pt idx="182">
                  <c:v>2007M03</c:v>
                </c:pt>
                <c:pt idx="183">
                  <c:v>2007M04</c:v>
                </c:pt>
                <c:pt idx="184">
                  <c:v>2007M05</c:v>
                </c:pt>
                <c:pt idx="185">
                  <c:v>2007M06</c:v>
                </c:pt>
                <c:pt idx="186">
                  <c:v>2007M07</c:v>
                </c:pt>
                <c:pt idx="187">
                  <c:v>2007M08</c:v>
                </c:pt>
                <c:pt idx="188">
                  <c:v>2007M09</c:v>
                </c:pt>
                <c:pt idx="189">
                  <c:v>2007M10</c:v>
                </c:pt>
                <c:pt idx="190">
                  <c:v>2007M11</c:v>
                </c:pt>
                <c:pt idx="191">
                  <c:v>2007M12</c:v>
                </c:pt>
                <c:pt idx="192">
                  <c:v>2008M01</c:v>
                </c:pt>
                <c:pt idx="193">
                  <c:v>2008M02</c:v>
                </c:pt>
                <c:pt idx="194">
                  <c:v>2008M03</c:v>
                </c:pt>
                <c:pt idx="195">
                  <c:v>2008M04</c:v>
                </c:pt>
                <c:pt idx="196">
                  <c:v>2008M05</c:v>
                </c:pt>
                <c:pt idx="197">
                  <c:v>2008M06</c:v>
                </c:pt>
                <c:pt idx="198">
                  <c:v>2008M07</c:v>
                </c:pt>
                <c:pt idx="199">
                  <c:v>2008M08</c:v>
                </c:pt>
                <c:pt idx="200">
                  <c:v>2008M09</c:v>
                </c:pt>
                <c:pt idx="201">
                  <c:v>2008M10</c:v>
                </c:pt>
                <c:pt idx="202">
                  <c:v>2008M11</c:v>
                </c:pt>
                <c:pt idx="203">
                  <c:v>2008M12</c:v>
                </c:pt>
                <c:pt idx="204">
                  <c:v>2009M01</c:v>
                </c:pt>
                <c:pt idx="205">
                  <c:v>2009M02</c:v>
                </c:pt>
                <c:pt idx="206">
                  <c:v>2009M03</c:v>
                </c:pt>
                <c:pt idx="207">
                  <c:v>2009M04</c:v>
                </c:pt>
                <c:pt idx="208">
                  <c:v>2009M05</c:v>
                </c:pt>
                <c:pt idx="209">
                  <c:v>2009M06</c:v>
                </c:pt>
                <c:pt idx="210">
                  <c:v>2009M07</c:v>
                </c:pt>
                <c:pt idx="211">
                  <c:v>2009M08</c:v>
                </c:pt>
                <c:pt idx="212">
                  <c:v>2009M09</c:v>
                </c:pt>
                <c:pt idx="213">
                  <c:v>2009M10</c:v>
                </c:pt>
                <c:pt idx="214">
                  <c:v>2009M11</c:v>
                </c:pt>
                <c:pt idx="215">
                  <c:v>2009M12</c:v>
                </c:pt>
                <c:pt idx="216">
                  <c:v>2010M01</c:v>
                </c:pt>
                <c:pt idx="217">
                  <c:v>2010M02</c:v>
                </c:pt>
                <c:pt idx="218">
                  <c:v>2010M03</c:v>
                </c:pt>
                <c:pt idx="219">
                  <c:v>2010M04</c:v>
                </c:pt>
                <c:pt idx="220">
                  <c:v>2010M05</c:v>
                </c:pt>
                <c:pt idx="221">
                  <c:v>2010M06</c:v>
                </c:pt>
                <c:pt idx="222">
                  <c:v>2010M07</c:v>
                </c:pt>
                <c:pt idx="223">
                  <c:v>2010M08</c:v>
                </c:pt>
                <c:pt idx="224">
                  <c:v>2010M09</c:v>
                </c:pt>
                <c:pt idx="225">
                  <c:v>2010M10</c:v>
                </c:pt>
                <c:pt idx="226">
                  <c:v>2010M11</c:v>
                </c:pt>
                <c:pt idx="227">
                  <c:v>2010M12</c:v>
                </c:pt>
                <c:pt idx="228">
                  <c:v>2011M01</c:v>
                </c:pt>
                <c:pt idx="229">
                  <c:v>2011M02</c:v>
                </c:pt>
                <c:pt idx="230">
                  <c:v>2011M03</c:v>
                </c:pt>
                <c:pt idx="231">
                  <c:v>2011M04</c:v>
                </c:pt>
                <c:pt idx="232">
                  <c:v>2011M05</c:v>
                </c:pt>
                <c:pt idx="233">
                  <c:v>2011M06</c:v>
                </c:pt>
                <c:pt idx="234">
                  <c:v>2011M07</c:v>
                </c:pt>
                <c:pt idx="235">
                  <c:v>2011M08</c:v>
                </c:pt>
                <c:pt idx="236">
                  <c:v>2011M09</c:v>
                </c:pt>
                <c:pt idx="237">
                  <c:v>2011M10</c:v>
                </c:pt>
                <c:pt idx="238">
                  <c:v>2011M11</c:v>
                </c:pt>
                <c:pt idx="239">
                  <c:v>2011M12</c:v>
                </c:pt>
                <c:pt idx="240">
                  <c:v>2012M01</c:v>
                </c:pt>
                <c:pt idx="241">
                  <c:v>2012M02</c:v>
                </c:pt>
                <c:pt idx="242">
                  <c:v>2012M03</c:v>
                </c:pt>
                <c:pt idx="243">
                  <c:v>2012M04</c:v>
                </c:pt>
                <c:pt idx="244">
                  <c:v>2012M05</c:v>
                </c:pt>
                <c:pt idx="245">
                  <c:v>2012M06</c:v>
                </c:pt>
                <c:pt idx="246">
                  <c:v>2012M07</c:v>
                </c:pt>
                <c:pt idx="247">
                  <c:v>2012M08</c:v>
                </c:pt>
                <c:pt idx="248">
                  <c:v>2012M09</c:v>
                </c:pt>
                <c:pt idx="249">
                  <c:v>2012M10</c:v>
                </c:pt>
                <c:pt idx="250">
                  <c:v>2012M11</c:v>
                </c:pt>
                <c:pt idx="251">
                  <c:v>2012M12</c:v>
                </c:pt>
                <c:pt idx="252">
                  <c:v>2013M01</c:v>
                </c:pt>
                <c:pt idx="253">
                  <c:v>2013M02</c:v>
                </c:pt>
                <c:pt idx="254">
                  <c:v>2013M03</c:v>
                </c:pt>
                <c:pt idx="255">
                  <c:v>2013M04</c:v>
                </c:pt>
                <c:pt idx="256">
                  <c:v>2013M05</c:v>
                </c:pt>
                <c:pt idx="257">
                  <c:v>2013M06</c:v>
                </c:pt>
                <c:pt idx="258">
                  <c:v>2013M07</c:v>
                </c:pt>
                <c:pt idx="259">
                  <c:v>2013M08</c:v>
                </c:pt>
                <c:pt idx="260">
                  <c:v>2013M09</c:v>
                </c:pt>
                <c:pt idx="261">
                  <c:v>2013M10</c:v>
                </c:pt>
                <c:pt idx="262">
                  <c:v>2013M11</c:v>
                </c:pt>
                <c:pt idx="263">
                  <c:v>2013M12</c:v>
                </c:pt>
                <c:pt idx="264">
                  <c:v>2014M01</c:v>
                </c:pt>
                <c:pt idx="265">
                  <c:v>2014M02</c:v>
                </c:pt>
                <c:pt idx="266">
                  <c:v>2014M03</c:v>
                </c:pt>
                <c:pt idx="267">
                  <c:v>2014M04</c:v>
                </c:pt>
                <c:pt idx="268">
                  <c:v>2014M05</c:v>
                </c:pt>
                <c:pt idx="269">
                  <c:v>2014M06</c:v>
                </c:pt>
                <c:pt idx="270">
                  <c:v>2014M07</c:v>
                </c:pt>
                <c:pt idx="271">
                  <c:v>2014M08</c:v>
                </c:pt>
                <c:pt idx="272">
                  <c:v>2014M09</c:v>
                </c:pt>
                <c:pt idx="273">
                  <c:v>2014M10</c:v>
                </c:pt>
                <c:pt idx="274">
                  <c:v>2014M11</c:v>
                </c:pt>
                <c:pt idx="275">
                  <c:v>2014M12</c:v>
                </c:pt>
                <c:pt idx="276">
                  <c:v>2015M01</c:v>
                </c:pt>
                <c:pt idx="277">
                  <c:v>2015M02</c:v>
                </c:pt>
                <c:pt idx="278">
                  <c:v>2015M03</c:v>
                </c:pt>
                <c:pt idx="279">
                  <c:v>2015M04</c:v>
                </c:pt>
                <c:pt idx="280">
                  <c:v>2015M05</c:v>
                </c:pt>
                <c:pt idx="281">
                  <c:v>2015M06</c:v>
                </c:pt>
                <c:pt idx="282">
                  <c:v>2015M07</c:v>
                </c:pt>
                <c:pt idx="283">
                  <c:v>2015M08</c:v>
                </c:pt>
                <c:pt idx="284">
                  <c:v>2015M09</c:v>
                </c:pt>
                <c:pt idx="285">
                  <c:v>2015M10</c:v>
                </c:pt>
                <c:pt idx="286">
                  <c:v>2015M11</c:v>
                </c:pt>
                <c:pt idx="287">
                  <c:v>2015M12</c:v>
                </c:pt>
                <c:pt idx="288">
                  <c:v>2016M01</c:v>
                </c:pt>
                <c:pt idx="289">
                  <c:v>2016M02</c:v>
                </c:pt>
                <c:pt idx="290">
                  <c:v>2016M03</c:v>
                </c:pt>
                <c:pt idx="291">
                  <c:v>2016M04</c:v>
                </c:pt>
                <c:pt idx="292">
                  <c:v>2016M05</c:v>
                </c:pt>
                <c:pt idx="293">
                  <c:v>2016M06</c:v>
                </c:pt>
                <c:pt idx="294">
                  <c:v>2016M07</c:v>
                </c:pt>
                <c:pt idx="295">
                  <c:v>2016M08</c:v>
                </c:pt>
                <c:pt idx="296">
                  <c:v>2016M09</c:v>
                </c:pt>
                <c:pt idx="297">
                  <c:v>2016M10</c:v>
                </c:pt>
                <c:pt idx="298">
                  <c:v>2016M11</c:v>
                </c:pt>
                <c:pt idx="299">
                  <c:v>2016M12</c:v>
                </c:pt>
                <c:pt idx="300">
                  <c:v>2017M01</c:v>
                </c:pt>
                <c:pt idx="301">
                  <c:v>2017M02</c:v>
                </c:pt>
                <c:pt idx="302">
                  <c:v>2017M03</c:v>
                </c:pt>
                <c:pt idx="303">
                  <c:v>2017M04</c:v>
                </c:pt>
                <c:pt idx="304">
                  <c:v>2017M05</c:v>
                </c:pt>
                <c:pt idx="305">
                  <c:v>2017M06</c:v>
                </c:pt>
                <c:pt idx="306">
                  <c:v>2017M07</c:v>
                </c:pt>
                <c:pt idx="307">
                  <c:v>2017M08</c:v>
                </c:pt>
                <c:pt idx="308">
                  <c:v>2017M09</c:v>
                </c:pt>
                <c:pt idx="309">
                  <c:v>2017M10</c:v>
                </c:pt>
                <c:pt idx="310">
                  <c:v>2017M11</c:v>
                </c:pt>
                <c:pt idx="311">
                  <c:v>2017M12</c:v>
                </c:pt>
                <c:pt idx="312">
                  <c:v>2018M01</c:v>
                </c:pt>
                <c:pt idx="313">
                  <c:v>2018M02</c:v>
                </c:pt>
                <c:pt idx="314">
                  <c:v>2018M03</c:v>
                </c:pt>
                <c:pt idx="315">
                  <c:v>2018M04</c:v>
                </c:pt>
                <c:pt idx="316">
                  <c:v>2018M05</c:v>
                </c:pt>
                <c:pt idx="317">
                  <c:v>2018M06</c:v>
                </c:pt>
                <c:pt idx="318">
                  <c:v>2018M07</c:v>
                </c:pt>
                <c:pt idx="319">
                  <c:v>2018M08</c:v>
                </c:pt>
                <c:pt idx="320">
                  <c:v>2018M09</c:v>
                </c:pt>
                <c:pt idx="321">
                  <c:v>2018M10</c:v>
                </c:pt>
                <c:pt idx="322">
                  <c:v>2018M11</c:v>
                </c:pt>
                <c:pt idx="323">
                  <c:v>2018M12</c:v>
                </c:pt>
                <c:pt idx="324">
                  <c:v>2019M01</c:v>
                </c:pt>
                <c:pt idx="325">
                  <c:v>2019M02</c:v>
                </c:pt>
                <c:pt idx="326">
                  <c:v>2019M03</c:v>
                </c:pt>
                <c:pt idx="327">
                  <c:v>2019M04</c:v>
                </c:pt>
                <c:pt idx="328">
                  <c:v>2019M05</c:v>
                </c:pt>
                <c:pt idx="329">
                  <c:v>2019M06</c:v>
                </c:pt>
                <c:pt idx="330">
                  <c:v>2019M07</c:v>
                </c:pt>
                <c:pt idx="331">
                  <c:v>2019M08</c:v>
                </c:pt>
                <c:pt idx="332">
                  <c:v>2019M09</c:v>
                </c:pt>
                <c:pt idx="333">
                  <c:v>2019M10</c:v>
                </c:pt>
                <c:pt idx="334">
                  <c:v>2019M11</c:v>
                </c:pt>
                <c:pt idx="335">
                  <c:v>2019M12</c:v>
                </c:pt>
                <c:pt idx="336">
                  <c:v>2020M01</c:v>
                </c:pt>
                <c:pt idx="337">
                  <c:v>2020M02</c:v>
                </c:pt>
                <c:pt idx="338">
                  <c:v>2020M03</c:v>
                </c:pt>
                <c:pt idx="339">
                  <c:v>2020M04</c:v>
                </c:pt>
                <c:pt idx="340">
                  <c:v>2020M05</c:v>
                </c:pt>
                <c:pt idx="341">
                  <c:v>2020M06</c:v>
                </c:pt>
                <c:pt idx="342">
                  <c:v>2020M07</c:v>
                </c:pt>
                <c:pt idx="343">
                  <c:v>2020M08</c:v>
                </c:pt>
                <c:pt idx="344">
                  <c:v>2020M09</c:v>
                </c:pt>
                <c:pt idx="345">
                  <c:v>2020M10</c:v>
                </c:pt>
                <c:pt idx="346">
                  <c:v>2020M11</c:v>
                </c:pt>
                <c:pt idx="347">
                  <c:v>2020M12</c:v>
                </c:pt>
                <c:pt idx="348">
                  <c:v>2021M01</c:v>
                </c:pt>
                <c:pt idx="349">
                  <c:v>2021M02</c:v>
                </c:pt>
                <c:pt idx="350">
                  <c:v>2021M03</c:v>
                </c:pt>
                <c:pt idx="351">
                  <c:v>2021M04</c:v>
                </c:pt>
                <c:pt idx="352">
                  <c:v>2021M05</c:v>
                </c:pt>
                <c:pt idx="353">
                  <c:v>2021M06</c:v>
                </c:pt>
                <c:pt idx="354">
                  <c:v>2021M07</c:v>
                </c:pt>
                <c:pt idx="355">
                  <c:v>2021M08</c:v>
                </c:pt>
                <c:pt idx="356">
                  <c:v>2021M09</c:v>
                </c:pt>
                <c:pt idx="357">
                  <c:v>2021M10</c:v>
                </c:pt>
                <c:pt idx="358">
                  <c:v>2021M11</c:v>
                </c:pt>
                <c:pt idx="359">
                  <c:v>2021M12</c:v>
                </c:pt>
                <c:pt idx="360">
                  <c:v>2022M01</c:v>
                </c:pt>
                <c:pt idx="361">
                  <c:v>2022M02</c:v>
                </c:pt>
                <c:pt idx="362">
                  <c:v>2022M03</c:v>
                </c:pt>
                <c:pt idx="363">
                  <c:v>2022M04</c:v>
                </c:pt>
              </c:strCache>
            </c:strRef>
          </c:cat>
          <c:val>
            <c:numRef>
              <c:f>'Monthly Indices'!$F$395:$F$758</c:f>
              <c:numCache>
                <c:formatCode>0.00</c:formatCode>
                <c:ptCount val="364"/>
                <c:pt idx="0">
                  <c:v>55.670809441064101</c:v>
                </c:pt>
                <c:pt idx="1">
                  <c:v>55.457643735303797</c:v>
                </c:pt>
                <c:pt idx="2">
                  <c:v>55.554090554985301</c:v>
                </c:pt>
                <c:pt idx="3">
                  <c:v>54.070045944967703</c:v>
                </c:pt>
                <c:pt idx="4">
                  <c:v>54.157411220504201</c:v>
                </c:pt>
                <c:pt idx="5">
                  <c:v>54.817035839657102</c:v>
                </c:pt>
                <c:pt idx="6">
                  <c:v>53.740462275919199</c:v>
                </c:pt>
                <c:pt idx="7">
                  <c:v>53.823216633597802</c:v>
                </c:pt>
                <c:pt idx="8">
                  <c:v>53.344318966356497</c:v>
                </c:pt>
                <c:pt idx="9">
                  <c:v>51.709142138939697</c:v>
                </c:pt>
                <c:pt idx="10">
                  <c:v>52.1440971280974</c:v>
                </c:pt>
                <c:pt idx="11">
                  <c:v>51.994350766953602</c:v>
                </c:pt>
                <c:pt idx="12">
                  <c:v>53.518044008974201</c:v>
                </c:pt>
                <c:pt idx="13">
                  <c:v>53.331668351014798</c:v>
                </c:pt>
                <c:pt idx="14">
                  <c:v>54.114348505280198</c:v>
                </c:pt>
                <c:pt idx="15">
                  <c:v>53.762973405341398</c:v>
                </c:pt>
                <c:pt idx="16">
                  <c:v>53.039449329371998</c:v>
                </c:pt>
                <c:pt idx="17">
                  <c:v>51.260000473793298</c:v>
                </c:pt>
                <c:pt idx="18">
                  <c:v>54.052884430546101</c:v>
                </c:pt>
                <c:pt idx="19">
                  <c:v>53.472109690833904</c:v>
                </c:pt>
                <c:pt idx="20">
                  <c:v>53.543566487119399</c:v>
                </c:pt>
                <c:pt idx="21">
                  <c:v>54.135950258265098</c:v>
                </c:pt>
                <c:pt idx="22">
                  <c:v>56.650653011902698</c:v>
                </c:pt>
                <c:pt idx="23">
                  <c:v>58.587925301719501</c:v>
                </c:pt>
                <c:pt idx="24">
                  <c:v>59.931531016392803</c:v>
                </c:pt>
                <c:pt idx="25">
                  <c:v>59.7327699273742</c:v>
                </c:pt>
                <c:pt idx="26">
                  <c:v>58.362946914939698</c:v>
                </c:pt>
                <c:pt idx="27">
                  <c:v>57.207341599012402</c:v>
                </c:pt>
                <c:pt idx="28">
                  <c:v>56.622818570103298</c:v>
                </c:pt>
                <c:pt idx="29">
                  <c:v>56.247344868693098</c:v>
                </c:pt>
                <c:pt idx="30">
                  <c:v>55.5498034979165</c:v>
                </c:pt>
                <c:pt idx="31">
                  <c:v>57.062228263428601</c:v>
                </c:pt>
                <c:pt idx="32">
                  <c:v>58.955647142183203</c:v>
                </c:pt>
                <c:pt idx="33">
                  <c:v>57.608016851114201</c:v>
                </c:pt>
                <c:pt idx="34">
                  <c:v>59.153471984671299</c:v>
                </c:pt>
                <c:pt idx="35">
                  <c:v>61.207229425206499</c:v>
                </c:pt>
                <c:pt idx="36">
                  <c:v>59.864726952988299</c:v>
                </c:pt>
                <c:pt idx="37">
                  <c:v>61.232958129898797</c:v>
                </c:pt>
                <c:pt idx="38">
                  <c:v>60.611254064690698</c:v>
                </c:pt>
                <c:pt idx="39">
                  <c:v>59.393634350278802</c:v>
                </c:pt>
                <c:pt idx="40">
                  <c:v>59.569865462045698</c:v>
                </c:pt>
                <c:pt idx="41">
                  <c:v>61.792167336557398</c:v>
                </c:pt>
                <c:pt idx="42">
                  <c:v>65.257170734828605</c:v>
                </c:pt>
                <c:pt idx="43">
                  <c:v>63.811546887778697</c:v>
                </c:pt>
                <c:pt idx="44">
                  <c:v>64.399722493031504</c:v>
                </c:pt>
                <c:pt idx="45">
                  <c:v>66.297372805605406</c:v>
                </c:pt>
                <c:pt idx="46">
                  <c:v>66.701907759464802</c:v>
                </c:pt>
                <c:pt idx="47">
                  <c:v>67.010532211681706</c:v>
                </c:pt>
                <c:pt idx="48">
                  <c:v>67.391428765155098</c:v>
                </c:pt>
                <c:pt idx="49">
                  <c:v>68.656090677447907</c:v>
                </c:pt>
                <c:pt idx="50">
                  <c:v>68.647669318473007</c:v>
                </c:pt>
                <c:pt idx="51">
                  <c:v>72.232633687431203</c:v>
                </c:pt>
                <c:pt idx="52">
                  <c:v>73.070109058568406</c:v>
                </c:pt>
                <c:pt idx="53">
                  <c:v>70.950925259609605</c:v>
                </c:pt>
                <c:pt idx="54">
                  <c:v>69.959571192787195</c:v>
                </c:pt>
                <c:pt idx="55">
                  <c:v>68.960536428018102</c:v>
                </c:pt>
                <c:pt idx="56">
                  <c:v>66.538986530871995</c:v>
                </c:pt>
                <c:pt idx="57">
                  <c:v>63.123669269528399</c:v>
                </c:pt>
                <c:pt idx="58">
                  <c:v>62.831339667652699</c:v>
                </c:pt>
                <c:pt idx="59">
                  <c:v>63.211548832128102</c:v>
                </c:pt>
                <c:pt idx="60">
                  <c:v>65.3800376907284</c:v>
                </c:pt>
                <c:pt idx="61">
                  <c:v>66.249906402863402</c:v>
                </c:pt>
                <c:pt idx="62">
                  <c:v>67.523282707816605</c:v>
                </c:pt>
                <c:pt idx="63">
                  <c:v>66.456335244530905</c:v>
                </c:pt>
                <c:pt idx="64">
                  <c:v>63.672421775137501</c:v>
                </c:pt>
                <c:pt idx="65">
                  <c:v>61.309534304459703</c:v>
                </c:pt>
                <c:pt idx="66">
                  <c:v>59.985764944998401</c:v>
                </c:pt>
                <c:pt idx="67">
                  <c:v>60.044345276022703</c:v>
                </c:pt>
                <c:pt idx="68">
                  <c:v>60.304337000592596</c:v>
                </c:pt>
                <c:pt idx="69">
                  <c:v>60.622259706663002</c:v>
                </c:pt>
                <c:pt idx="70">
                  <c:v>61.571028179206799</c:v>
                </c:pt>
                <c:pt idx="71">
                  <c:v>60.567614246353401</c:v>
                </c:pt>
                <c:pt idx="72">
                  <c:v>60.055941238291403</c:v>
                </c:pt>
                <c:pt idx="73">
                  <c:v>59.949037425092797</c:v>
                </c:pt>
                <c:pt idx="74">
                  <c:v>59.076062998464501</c:v>
                </c:pt>
                <c:pt idx="75">
                  <c:v>60.204823706609197</c:v>
                </c:pt>
                <c:pt idx="76">
                  <c:v>59.460004031872799</c:v>
                </c:pt>
                <c:pt idx="77">
                  <c:v>57.420471048260502</c:v>
                </c:pt>
                <c:pt idx="78">
                  <c:v>56.842836713091202</c:v>
                </c:pt>
                <c:pt idx="79">
                  <c:v>54.349014498268197</c:v>
                </c:pt>
                <c:pt idx="80">
                  <c:v>54.163038548176097</c:v>
                </c:pt>
                <c:pt idx="81">
                  <c:v>54.819078734728002</c:v>
                </c:pt>
                <c:pt idx="82">
                  <c:v>56.488174639231701</c:v>
                </c:pt>
                <c:pt idx="83">
                  <c:v>54.732694462020199</c:v>
                </c:pt>
                <c:pt idx="84">
                  <c:v>55.023854227451103</c:v>
                </c:pt>
                <c:pt idx="85">
                  <c:v>51.589274828765298</c:v>
                </c:pt>
                <c:pt idx="86">
                  <c:v>49.7841955650728</c:v>
                </c:pt>
                <c:pt idx="87">
                  <c:v>49.034518270852701</c:v>
                </c:pt>
                <c:pt idx="88">
                  <c:v>47.719888011672801</c:v>
                </c:pt>
                <c:pt idx="89">
                  <c:v>46.6216221333313</c:v>
                </c:pt>
                <c:pt idx="90">
                  <c:v>44.4985777713853</c:v>
                </c:pt>
                <c:pt idx="91">
                  <c:v>46.465879607010102</c:v>
                </c:pt>
                <c:pt idx="92">
                  <c:v>47.591398706710301</c:v>
                </c:pt>
                <c:pt idx="93">
                  <c:v>47.1437910540334</c:v>
                </c:pt>
                <c:pt idx="94">
                  <c:v>46.340279270076998</c:v>
                </c:pt>
                <c:pt idx="95">
                  <c:v>45.857405484487899</c:v>
                </c:pt>
                <c:pt idx="96">
                  <c:v>47.444304319491202</c:v>
                </c:pt>
                <c:pt idx="97">
                  <c:v>47.910255472737298</c:v>
                </c:pt>
                <c:pt idx="98">
                  <c:v>47.328492205937899</c:v>
                </c:pt>
                <c:pt idx="99">
                  <c:v>47.975111912082802</c:v>
                </c:pt>
                <c:pt idx="100">
                  <c:v>47.472005602738001</c:v>
                </c:pt>
                <c:pt idx="101">
                  <c:v>46.463159379302198</c:v>
                </c:pt>
                <c:pt idx="102">
                  <c:v>44.9491756387986</c:v>
                </c:pt>
                <c:pt idx="103">
                  <c:v>45.156618388690198</c:v>
                </c:pt>
                <c:pt idx="104">
                  <c:v>46.056352777541903</c:v>
                </c:pt>
                <c:pt idx="105">
                  <c:v>46.410161292950399</c:v>
                </c:pt>
                <c:pt idx="106">
                  <c:v>46.872998148247603</c:v>
                </c:pt>
                <c:pt idx="107">
                  <c:v>48.5763087436532</c:v>
                </c:pt>
                <c:pt idx="108">
                  <c:v>48.589338363648501</c:v>
                </c:pt>
                <c:pt idx="109">
                  <c:v>48.0957273441214</c:v>
                </c:pt>
                <c:pt idx="110">
                  <c:v>47.751550389435302</c:v>
                </c:pt>
                <c:pt idx="111">
                  <c:v>47.163800471311198</c:v>
                </c:pt>
                <c:pt idx="112">
                  <c:v>47.817475322365397</c:v>
                </c:pt>
                <c:pt idx="113">
                  <c:v>48.315029449700603</c:v>
                </c:pt>
                <c:pt idx="114">
                  <c:v>52.1170992357996</c:v>
                </c:pt>
                <c:pt idx="115">
                  <c:v>51.825916563622002</c:v>
                </c:pt>
                <c:pt idx="116">
                  <c:v>49.4170280771257</c:v>
                </c:pt>
                <c:pt idx="117">
                  <c:v>46.794049873001299</c:v>
                </c:pt>
                <c:pt idx="118">
                  <c:v>48.442905321109897</c:v>
                </c:pt>
                <c:pt idx="119">
                  <c:v>48.4715589619314</c:v>
                </c:pt>
                <c:pt idx="120">
                  <c:v>48.7990570485535</c:v>
                </c:pt>
                <c:pt idx="121">
                  <c:v>48.097475206043597</c:v>
                </c:pt>
                <c:pt idx="122">
                  <c:v>48.868787813413</c:v>
                </c:pt>
                <c:pt idx="123">
                  <c:v>48.532045171722899</c:v>
                </c:pt>
                <c:pt idx="124">
                  <c:v>49.527200452255499</c:v>
                </c:pt>
                <c:pt idx="125">
                  <c:v>51.156386149584002</c:v>
                </c:pt>
                <c:pt idx="126">
                  <c:v>52.607328296599498</c:v>
                </c:pt>
                <c:pt idx="127">
                  <c:v>53.270915675917998</c:v>
                </c:pt>
                <c:pt idx="128">
                  <c:v>55.110932674715201</c:v>
                </c:pt>
                <c:pt idx="129">
                  <c:v>55.114048499303898</c:v>
                </c:pt>
                <c:pt idx="130">
                  <c:v>54.707389393392702</c:v>
                </c:pt>
                <c:pt idx="131">
                  <c:v>55.793735837957001</c:v>
                </c:pt>
                <c:pt idx="132">
                  <c:v>55.692877223526303</c:v>
                </c:pt>
                <c:pt idx="133">
                  <c:v>55.248464621858702</c:v>
                </c:pt>
                <c:pt idx="134">
                  <c:v>54.8659417595142</c:v>
                </c:pt>
                <c:pt idx="135">
                  <c:v>54.289447854240002</c:v>
                </c:pt>
                <c:pt idx="136">
                  <c:v>54.213789610568597</c:v>
                </c:pt>
                <c:pt idx="137">
                  <c:v>53.986569990196301</c:v>
                </c:pt>
                <c:pt idx="138">
                  <c:v>52.775840593327899</c:v>
                </c:pt>
                <c:pt idx="139">
                  <c:v>53.851991443871697</c:v>
                </c:pt>
                <c:pt idx="140">
                  <c:v>55.547508133831997</c:v>
                </c:pt>
                <c:pt idx="141">
                  <c:v>59.7491765841445</c:v>
                </c:pt>
                <c:pt idx="142">
                  <c:v>62.152970270052002</c:v>
                </c:pt>
                <c:pt idx="143">
                  <c:v>61.851634163592102</c:v>
                </c:pt>
                <c:pt idx="144">
                  <c:v>63.917669008553602</c:v>
                </c:pt>
                <c:pt idx="145">
                  <c:v>66.171585073811201</c:v>
                </c:pt>
                <c:pt idx="146">
                  <c:v>69.797447750014697</c:v>
                </c:pt>
                <c:pt idx="147">
                  <c:v>69.112132851922894</c:v>
                </c:pt>
                <c:pt idx="148">
                  <c:v>66.527956018211995</c:v>
                </c:pt>
                <c:pt idx="149">
                  <c:v>64.196817836327199</c:v>
                </c:pt>
                <c:pt idx="150">
                  <c:v>62.555627122993101</c:v>
                </c:pt>
                <c:pt idx="151">
                  <c:v>61.128690034498398</c:v>
                </c:pt>
                <c:pt idx="152">
                  <c:v>60.824562547260399</c:v>
                </c:pt>
                <c:pt idx="153">
                  <c:v>59.689533297291</c:v>
                </c:pt>
                <c:pt idx="154">
                  <c:v>59.438086482283701</c:v>
                </c:pt>
                <c:pt idx="155">
                  <c:v>59.766269782573602</c:v>
                </c:pt>
                <c:pt idx="156">
                  <c:v>60.0333806493989</c:v>
                </c:pt>
                <c:pt idx="157">
                  <c:v>62.135753005444599</c:v>
                </c:pt>
                <c:pt idx="158">
                  <c:v>65.278232767178395</c:v>
                </c:pt>
                <c:pt idx="159">
                  <c:v>63.2909275030785</c:v>
                </c:pt>
                <c:pt idx="160">
                  <c:v>62.726894118571899</c:v>
                </c:pt>
                <c:pt idx="161">
                  <c:v>62.356930858677401</c:v>
                </c:pt>
                <c:pt idx="162">
                  <c:v>61.941871278808399</c:v>
                </c:pt>
                <c:pt idx="163">
                  <c:v>61.0191585948672</c:v>
                </c:pt>
                <c:pt idx="164">
                  <c:v>61.975924902662101</c:v>
                </c:pt>
                <c:pt idx="165">
                  <c:v>63.129499945138598</c:v>
                </c:pt>
                <c:pt idx="166">
                  <c:v>62.0232907551908</c:v>
                </c:pt>
                <c:pt idx="167">
                  <c:v>63.662633392957098</c:v>
                </c:pt>
                <c:pt idx="168">
                  <c:v>64.7498287614943</c:v>
                </c:pt>
                <c:pt idx="169">
                  <c:v>67.438437710199906</c:v>
                </c:pt>
                <c:pt idx="170">
                  <c:v>66.19703396077</c:v>
                </c:pt>
                <c:pt idx="171">
                  <c:v>65.830039238194502</c:v>
                </c:pt>
                <c:pt idx="172">
                  <c:v>68.1707720472766</c:v>
                </c:pt>
                <c:pt idx="173">
                  <c:v>65.778078356717202</c:v>
                </c:pt>
                <c:pt idx="174">
                  <c:v>66.915482454583795</c:v>
                </c:pt>
                <c:pt idx="175">
                  <c:v>66.566236546081797</c:v>
                </c:pt>
                <c:pt idx="176">
                  <c:v>66.421425839472704</c:v>
                </c:pt>
                <c:pt idx="177">
                  <c:v>69.330413680214406</c:v>
                </c:pt>
                <c:pt idx="178">
                  <c:v>72.578600448882099</c:v>
                </c:pt>
                <c:pt idx="179">
                  <c:v>72.888587029552198</c:v>
                </c:pt>
                <c:pt idx="180">
                  <c:v>73.527464304311906</c:v>
                </c:pt>
                <c:pt idx="181">
                  <c:v>75.938258898733693</c:v>
                </c:pt>
                <c:pt idx="182">
                  <c:v>75.638768681850195</c:v>
                </c:pt>
                <c:pt idx="183">
                  <c:v>75.452474512793998</c:v>
                </c:pt>
                <c:pt idx="184">
                  <c:v>77.930426112835505</c:v>
                </c:pt>
                <c:pt idx="185">
                  <c:v>81.534510004264007</c:v>
                </c:pt>
                <c:pt idx="186">
                  <c:v>83.370852952759705</c:v>
                </c:pt>
                <c:pt idx="187">
                  <c:v>84.6985774162127</c:v>
                </c:pt>
                <c:pt idx="188">
                  <c:v>89.437820704347004</c:v>
                </c:pt>
                <c:pt idx="189">
                  <c:v>92.778902033028004</c:v>
                </c:pt>
                <c:pt idx="190">
                  <c:v>96.235310170100405</c:v>
                </c:pt>
                <c:pt idx="191">
                  <c:v>99.848999165577695</c:v>
                </c:pt>
                <c:pt idx="192">
                  <c:v>106.219021465504</c:v>
                </c:pt>
                <c:pt idx="193">
                  <c:v>116.070096186436</c:v>
                </c:pt>
                <c:pt idx="194">
                  <c:v>123.94143332524899</c:v>
                </c:pt>
                <c:pt idx="195">
                  <c:v>127.577900254176</c:v>
                </c:pt>
                <c:pt idx="196">
                  <c:v>127.278822563014</c:v>
                </c:pt>
                <c:pt idx="197">
                  <c:v>131.16811232455899</c:v>
                </c:pt>
                <c:pt idx="198">
                  <c:v>128.05069308103799</c:v>
                </c:pt>
                <c:pt idx="199">
                  <c:v>116.099615669944</c:v>
                </c:pt>
                <c:pt idx="200">
                  <c:v>108.699210729404</c:v>
                </c:pt>
                <c:pt idx="201">
                  <c:v>91.159351312766901</c:v>
                </c:pt>
                <c:pt idx="202">
                  <c:v>85.324131628485802</c:v>
                </c:pt>
                <c:pt idx="203">
                  <c:v>82.229533400759493</c:v>
                </c:pt>
                <c:pt idx="204">
                  <c:v>88.642151372722196</c:v>
                </c:pt>
                <c:pt idx="205">
                  <c:v>87.701629151789106</c:v>
                </c:pt>
                <c:pt idx="206">
                  <c:v>87.291663781857494</c:v>
                </c:pt>
                <c:pt idx="207">
                  <c:v>90.583064879165804</c:v>
                </c:pt>
                <c:pt idx="208">
                  <c:v>96.588968741414803</c:v>
                </c:pt>
                <c:pt idx="209">
                  <c:v>96.925872955245495</c:v>
                </c:pt>
                <c:pt idx="210">
                  <c:v>92.172327323285998</c:v>
                </c:pt>
                <c:pt idx="211">
                  <c:v>95.600596596015805</c:v>
                </c:pt>
                <c:pt idx="212">
                  <c:v>92.479326190043594</c:v>
                </c:pt>
                <c:pt idx="213">
                  <c:v>93.545955131173002</c:v>
                </c:pt>
                <c:pt idx="214">
                  <c:v>96.766528379955801</c:v>
                </c:pt>
                <c:pt idx="215">
                  <c:v>97.554250606252594</c:v>
                </c:pt>
                <c:pt idx="216">
                  <c:v>98.462004030288995</c:v>
                </c:pt>
                <c:pt idx="217">
                  <c:v>95.368402970081704</c:v>
                </c:pt>
                <c:pt idx="218">
                  <c:v>92.5972147401054</c:v>
                </c:pt>
                <c:pt idx="219">
                  <c:v>91.710050984984207</c:v>
                </c:pt>
                <c:pt idx="220">
                  <c:v>90.385300863026501</c:v>
                </c:pt>
                <c:pt idx="221">
                  <c:v>89.113575526837394</c:v>
                </c:pt>
                <c:pt idx="222">
                  <c:v>93.818238853166406</c:v>
                </c:pt>
                <c:pt idx="223">
                  <c:v>99.274724176705007</c:v>
                </c:pt>
                <c:pt idx="224">
                  <c:v>104.654013459274</c:v>
                </c:pt>
                <c:pt idx="225">
                  <c:v>110.376634070138</c:v>
                </c:pt>
                <c:pt idx="226">
                  <c:v>113.969825662066</c:v>
                </c:pt>
                <c:pt idx="227">
                  <c:v>120.27001466332599</c:v>
                </c:pt>
                <c:pt idx="228">
                  <c:v>125.151911541332</c:v>
                </c:pt>
                <c:pt idx="229">
                  <c:v>129.25813314317301</c:v>
                </c:pt>
                <c:pt idx="230">
                  <c:v>123.629335323473</c:v>
                </c:pt>
                <c:pt idx="231">
                  <c:v>125.108012708424</c:v>
                </c:pt>
                <c:pt idx="232">
                  <c:v>123.28619389140199</c:v>
                </c:pt>
                <c:pt idx="233">
                  <c:v>123.308292987508</c:v>
                </c:pt>
                <c:pt idx="234">
                  <c:v>123.987165577412</c:v>
                </c:pt>
                <c:pt idx="235">
                  <c:v>125.48549691472201</c:v>
                </c:pt>
                <c:pt idx="236">
                  <c:v>123.275396058963</c:v>
                </c:pt>
                <c:pt idx="237">
                  <c:v>117.004442205337</c:v>
                </c:pt>
                <c:pt idx="238">
                  <c:v>116.128920881697</c:v>
                </c:pt>
                <c:pt idx="239">
                  <c:v>114.004975741243</c:v>
                </c:pt>
                <c:pt idx="240">
                  <c:v>115.961054383205</c:v>
                </c:pt>
                <c:pt idx="241">
                  <c:v>119.07022336973</c:v>
                </c:pt>
                <c:pt idx="242">
                  <c:v>122.542993776614</c:v>
                </c:pt>
                <c:pt idx="243">
                  <c:v>123.14739789227301</c:v>
                </c:pt>
                <c:pt idx="244">
                  <c:v>120.579944568722</c:v>
                </c:pt>
                <c:pt idx="245">
                  <c:v>119.92253291971601</c:v>
                </c:pt>
                <c:pt idx="246">
                  <c:v>132.11642610139199</c:v>
                </c:pt>
                <c:pt idx="247">
                  <c:v>132.36009215959299</c:v>
                </c:pt>
                <c:pt idx="248">
                  <c:v>131.075576110128</c:v>
                </c:pt>
                <c:pt idx="249">
                  <c:v>126.45860587194601</c:v>
                </c:pt>
                <c:pt idx="250">
                  <c:v>123.831372586627</c:v>
                </c:pt>
                <c:pt idx="251">
                  <c:v>122.74680298091999</c:v>
                </c:pt>
                <c:pt idx="252">
                  <c:v>121.25334672142699</c:v>
                </c:pt>
                <c:pt idx="253">
                  <c:v>120.761470185584</c:v>
                </c:pt>
                <c:pt idx="254">
                  <c:v>120.024647916766</c:v>
                </c:pt>
                <c:pt idx="255">
                  <c:v>116.430917741813</c:v>
                </c:pt>
                <c:pt idx="256">
                  <c:v>116.729169965819</c:v>
                </c:pt>
                <c:pt idx="257">
                  <c:v>117.552574699495</c:v>
                </c:pt>
                <c:pt idx="258">
                  <c:v>114.420872941026</c:v>
                </c:pt>
                <c:pt idx="259">
                  <c:v>110.288291136276</c:v>
                </c:pt>
                <c:pt idx="260">
                  <c:v>109.84644668409</c:v>
                </c:pt>
                <c:pt idx="261">
                  <c:v>110.080629525383</c:v>
                </c:pt>
                <c:pt idx="262">
                  <c:v>109.16255890239</c:v>
                </c:pt>
                <c:pt idx="263">
                  <c:v>108.566758177579</c:v>
                </c:pt>
                <c:pt idx="264">
                  <c:v>106.522670078329</c:v>
                </c:pt>
                <c:pt idx="265">
                  <c:v>108.28727713825801</c:v>
                </c:pt>
                <c:pt idx="266">
                  <c:v>113.82532333004001</c:v>
                </c:pt>
                <c:pt idx="267">
                  <c:v>112.31422932540799</c:v>
                </c:pt>
                <c:pt idx="268">
                  <c:v>112.051829982764</c:v>
                </c:pt>
                <c:pt idx="269">
                  <c:v>108.99996588874799</c:v>
                </c:pt>
                <c:pt idx="270">
                  <c:v>105.68281600241301</c:v>
                </c:pt>
                <c:pt idx="271">
                  <c:v>103.800981546594</c:v>
                </c:pt>
                <c:pt idx="272">
                  <c:v>100.266799554719</c:v>
                </c:pt>
                <c:pt idx="273">
                  <c:v>99.544375278309204</c:v>
                </c:pt>
                <c:pt idx="274">
                  <c:v>101.215057326061</c:v>
                </c:pt>
                <c:pt idx="275">
                  <c:v>99.687132121856195</c:v>
                </c:pt>
                <c:pt idx="276">
                  <c:v>97.148973886305996</c:v>
                </c:pt>
                <c:pt idx="277">
                  <c:v>94.285808907637502</c:v>
                </c:pt>
                <c:pt idx="278">
                  <c:v>92.430337502572598</c:v>
                </c:pt>
                <c:pt idx="279">
                  <c:v>91.466785263803402</c:v>
                </c:pt>
                <c:pt idx="280">
                  <c:v>89.674623317463201</c:v>
                </c:pt>
                <c:pt idx="281">
                  <c:v>88.897225052818797</c:v>
                </c:pt>
                <c:pt idx="282">
                  <c:v>89.919720272778804</c:v>
                </c:pt>
                <c:pt idx="283">
                  <c:v>84.6784351681315</c:v>
                </c:pt>
                <c:pt idx="284">
                  <c:v>82.890451634803796</c:v>
                </c:pt>
                <c:pt idx="285">
                  <c:v>84.238599936600906</c:v>
                </c:pt>
                <c:pt idx="286">
                  <c:v>82.906039929846699</c:v>
                </c:pt>
                <c:pt idx="287">
                  <c:v>83.029317854337407</c:v>
                </c:pt>
                <c:pt idx="288">
                  <c:v>83.110966919339205</c:v>
                </c:pt>
                <c:pt idx="289">
                  <c:v>83.815987994977405</c:v>
                </c:pt>
                <c:pt idx="290">
                  <c:v>85.849385296329402</c:v>
                </c:pt>
                <c:pt idx="291">
                  <c:v>88.464741607573799</c:v>
                </c:pt>
                <c:pt idx="292">
                  <c:v>92.468045939425707</c:v>
                </c:pt>
                <c:pt idx="293">
                  <c:v>96.833402920458695</c:v>
                </c:pt>
                <c:pt idx="294">
                  <c:v>93.317290517179899</c:v>
                </c:pt>
                <c:pt idx="295">
                  <c:v>91.549794941657296</c:v>
                </c:pt>
                <c:pt idx="296">
                  <c:v>90.535962125630405</c:v>
                </c:pt>
                <c:pt idx="297">
                  <c:v>89.354673279017305</c:v>
                </c:pt>
                <c:pt idx="298">
                  <c:v>89.921266103745197</c:v>
                </c:pt>
                <c:pt idx="299">
                  <c:v>90.286513414120407</c:v>
                </c:pt>
                <c:pt idx="300">
                  <c:v>92.131982737646695</c:v>
                </c:pt>
                <c:pt idx="301">
                  <c:v>91.737856777709496</c:v>
                </c:pt>
                <c:pt idx="302">
                  <c:v>90.406644966236598</c:v>
                </c:pt>
                <c:pt idx="303">
                  <c:v>89.424744263051807</c:v>
                </c:pt>
                <c:pt idx="304">
                  <c:v>91.818530677964205</c:v>
                </c:pt>
                <c:pt idx="305">
                  <c:v>91.520723598746997</c:v>
                </c:pt>
                <c:pt idx="306">
                  <c:v>91.676120202993104</c:v>
                </c:pt>
                <c:pt idx="307">
                  <c:v>88.501532608401007</c:v>
                </c:pt>
                <c:pt idx="308">
                  <c:v>89.212722389062506</c:v>
                </c:pt>
                <c:pt idx="309">
                  <c:v>88.602485656310606</c:v>
                </c:pt>
                <c:pt idx="310">
                  <c:v>89.191223924799999</c:v>
                </c:pt>
                <c:pt idx="311">
                  <c:v>88.200486485708396</c:v>
                </c:pt>
                <c:pt idx="312">
                  <c:v>90.637138669050302</c:v>
                </c:pt>
                <c:pt idx="313">
                  <c:v>92.917983847588403</c:v>
                </c:pt>
                <c:pt idx="314">
                  <c:v>93.995716002772298</c:v>
                </c:pt>
                <c:pt idx="315">
                  <c:v>96.093516878439402</c:v>
                </c:pt>
                <c:pt idx="316">
                  <c:v>96.785771367530003</c:v>
                </c:pt>
                <c:pt idx="317">
                  <c:v>93.3761537034366</c:v>
                </c:pt>
                <c:pt idx="318">
                  <c:v>89.973710150645104</c:v>
                </c:pt>
                <c:pt idx="319">
                  <c:v>88.705953710067604</c:v>
                </c:pt>
                <c:pt idx="320">
                  <c:v>85.623634802080403</c:v>
                </c:pt>
                <c:pt idx="321">
                  <c:v>86.373248292358696</c:v>
                </c:pt>
                <c:pt idx="322">
                  <c:v>84.809682523436194</c:v>
                </c:pt>
                <c:pt idx="323">
                  <c:v>86.075618652885296</c:v>
                </c:pt>
                <c:pt idx="324">
                  <c:v>86.965693159107005</c:v>
                </c:pt>
                <c:pt idx="325">
                  <c:v>87.4456492564195</c:v>
                </c:pt>
                <c:pt idx="326">
                  <c:v>86.195421397792003</c:v>
                </c:pt>
                <c:pt idx="327">
                  <c:v>85.966817481061994</c:v>
                </c:pt>
                <c:pt idx="328">
                  <c:v>84.9914055208842</c:v>
                </c:pt>
                <c:pt idx="329">
                  <c:v>88.062059014921303</c:v>
                </c:pt>
                <c:pt idx="330">
                  <c:v>86.857651712586005</c:v>
                </c:pt>
                <c:pt idx="331">
                  <c:v>84.690303764531606</c:v>
                </c:pt>
                <c:pt idx="332">
                  <c:v>84.210318833633593</c:v>
                </c:pt>
                <c:pt idx="333">
                  <c:v>86.301443259313004</c:v>
                </c:pt>
                <c:pt idx="334">
                  <c:v>89.906048299515604</c:v>
                </c:pt>
                <c:pt idx="335">
                  <c:v>92.1667107136428</c:v>
                </c:pt>
                <c:pt idx="336">
                  <c:v>93.870508236284195</c:v>
                </c:pt>
                <c:pt idx="337">
                  <c:v>90.512754313467099</c:v>
                </c:pt>
                <c:pt idx="338">
                  <c:v>88.030629780728006</c:v>
                </c:pt>
                <c:pt idx="339">
                  <c:v>85.624478677140402</c:v>
                </c:pt>
                <c:pt idx="340">
                  <c:v>85.431175877859999</c:v>
                </c:pt>
                <c:pt idx="341">
                  <c:v>88.317576419999298</c:v>
                </c:pt>
                <c:pt idx="342">
                  <c:v>89.201998057260397</c:v>
                </c:pt>
                <c:pt idx="343">
                  <c:v>91.167608181538995</c:v>
                </c:pt>
                <c:pt idx="344">
                  <c:v>95.157485629709797</c:v>
                </c:pt>
                <c:pt idx="345">
                  <c:v>98.8043915540878</c:v>
                </c:pt>
                <c:pt idx="346">
                  <c:v>103.99943529100899</c:v>
                </c:pt>
                <c:pt idx="347">
                  <c:v>107.341496609999</c:v>
                </c:pt>
                <c:pt idx="348">
                  <c:v>115.023625465943</c:v>
                </c:pt>
                <c:pt idx="349">
                  <c:v>116.634898899774</c:v>
                </c:pt>
                <c:pt idx="350">
                  <c:v>115.31038389882301</c:v>
                </c:pt>
                <c:pt idx="351">
                  <c:v>119.84035418803499</c:v>
                </c:pt>
                <c:pt idx="352">
                  <c:v>127.64371550364601</c:v>
                </c:pt>
                <c:pt idx="353">
                  <c:v>123.37953651006301</c:v>
                </c:pt>
                <c:pt idx="354">
                  <c:v>122.27763244511701</c:v>
                </c:pt>
                <c:pt idx="355">
                  <c:v>122.91518550124501</c:v>
                </c:pt>
                <c:pt idx="356">
                  <c:v>121.813997704442</c:v>
                </c:pt>
                <c:pt idx="357">
                  <c:v>124.05782323792501</c:v>
                </c:pt>
                <c:pt idx="358">
                  <c:v>125.938088998271</c:v>
                </c:pt>
                <c:pt idx="359">
                  <c:v>127.310585103926</c:v>
                </c:pt>
                <c:pt idx="360">
                  <c:v>133.82336336619699</c:v>
                </c:pt>
                <c:pt idx="361">
                  <c:v>141.35743366915801</c:v>
                </c:pt>
                <c:pt idx="362">
                  <c:v>157.35100943117601</c:v>
                </c:pt>
                <c:pt idx="363">
                  <c:v>158.87386777562099</c:v>
                </c:pt>
              </c:numCache>
            </c:numRef>
          </c:val>
          <c:smooth val="0"/>
          <c:extLst>
            <c:ext xmlns:c16="http://schemas.microsoft.com/office/drawing/2014/chart" uri="{C3380CC4-5D6E-409C-BE32-E72D297353CC}">
              <c16:uniqueId val="{00000000-2AEF-4CE2-97B5-0F66B4EC20E6}"/>
            </c:ext>
          </c:extLst>
        </c:ser>
        <c:dLbls>
          <c:showLegendKey val="0"/>
          <c:showVal val="0"/>
          <c:showCatName val="0"/>
          <c:showSerName val="0"/>
          <c:showPercent val="0"/>
          <c:showBubbleSize val="0"/>
        </c:dLbls>
        <c:smooth val="0"/>
        <c:axId val="22418880"/>
        <c:axId val="18276512"/>
      </c:lineChart>
      <c:catAx>
        <c:axId val="2241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crossAx val="18276512"/>
        <c:crosses val="autoZero"/>
        <c:auto val="1"/>
        <c:lblAlgn val="ctr"/>
        <c:lblOffset val="100"/>
        <c:noMultiLvlLbl val="0"/>
      </c:catAx>
      <c:valAx>
        <c:axId val="182765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crossAx val="22418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l-GR" sz="900" b="1"/>
              <a:t>Δείκτης τιμών σιτηρών</a:t>
            </a:r>
            <a:r>
              <a:rPr lang="el-GR" sz="900" b="1" baseline="0"/>
              <a:t> </a:t>
            </a:r>
          </a:p>
          <a:p>
            <a:pPr>
              <a:defRPr sz="700"/>
            </a:pPr>
            <a:r>
              <a:rPr lang="el-GR" sz="900" b="1" baseline="0"/>
              <a:t>Παγκόσμια Τράπεζα</a:t>
            </a:r>
            <a:endParaRPr lang="en-US" sz="900" b="1"/>
          </a:p>
        </c:rich>
      </c:tx>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'Monthly Indices'!$A$731:$A$758</c:f>
              <c:strCache>
                <c:ptCount val="28"/>
                <c:pt idx="0">
                  <c:v>2020M01</c:v>
                </c:pt>
                <c:pt idx="1">
                  <c:v>2020M02</c:v>
                </c:pt>
                <c:pt idx="2">
                  <c:v>2020M03</c:v>
                </c:pt>
                <c:pt idx="3">
                  <c:v>2020M04</c:v>
                </c:pt>
                <c:pt idx="4">
                  <c:v>2020M05</c:v>
                </c:pt>
                <c:pt idx="5">
                  <c:v>2020M06</c:v>
                </c:pt>
                <c:pt idx="6">
                  <c:v>2020M07</c:v>
                </c:pt>
                <c:pt idx="7">
                  <c:v>2020M08</c:v>
                </c:pt>
                <c:pt idx="8">
                  <c:v>2020M09</c:v>
                </c:pt>
                <c:pt idx="9">
                  <c:v>2020M10</c:v>
                </c:pt>
                <c:pt idx="10">
                  <c:v>2020M11</c:v>
                </c:pt>
                <c:pt idx="11">
                  <c:v>2020M12</c:v>
                </c:pt>
                <c:pt idx="12">
                  <c:v>2021M01</c:v>
                </c:pt>
                <c:pt idx="13">
                  <c:v>2021M02</c:v>
                </c:pt>
                <c:pt idx="14">
                  <c:v>2021M03</c:v>
                </c:pt>
                <c:pt idx="15">
                  <c:v>2021M04</c:v>
                </c:pt>
                <c:pt idx="16">
                  <c:v>2021M05</c:v>
                </c:pt>
                <c:pt idx="17">
                  <c:v>2021M06</c:v>
                </c:pt>
                <c:pt idx="18">
                  <c:v>2021M07</c:v>
                </c:pt>
                <c:pt idx="19">
                  <c:v>2021M08</c:v>
                </c:pt>
                <c:pt idx="20">
                  <c:v>2021M09</c:v>
                </c:pt>
                <c:pt idx="21">
                  <c:v>2021M10</c:v>
                </c:pt>
                <c:pt idx="22">
                  <c:v>2021M11</c:v>
                </c:pt>
                <c:pt idx="23">
                  <c:v>2021M12</c:v>
                </c:pt>
                <c:pt idx="24">
                  <c:v>2022M01</c:v>
                </c:pt>
                <c:pt idx="25">
                  <c:v>2022M02</c:v>
                </c:pt>
                <c:pt idx="26">
                  <c:v>2022M03</c:v>
                </c:pt>
                <c:pt idx="27">
                  <c:v>2022M04</c:v>
                </c:pt>
              </c:strCache>
            </c:strRef>
          </c:cat>
          <c:val>
            <c:numRef>
              <c:f>'Monthly Indices'!$H$731:$H$758</c:f>
              <c:numCache>
                <c:formatCode>0.00</c:formatCode>
                <c:ptCount val="28"/>
                <c:pt idx="0">
                  <c:v>93.637700704616606</c:v>
                </c:pt>
                <c:pt idx="1">
                  <c:v>91.862844695489201</c:v>
                </c:pt>
                <c:pt idx="2">
                  <c:v>92.491727349155198</c:v>
                </c:pt>
                <c:pt idx="3">
                  <c:v>94.526754853105103</c:v>
                </c:pt>
                <c:pt idx="4">
                  <c:v>88.2301702755816</c:v>
                </c:pt>
                <c:pt idx="5">
                  <c:v>88.914212852713106</c:v>
                </c:pt>
                <c:pt idx="6">
                  <c:v>90.126756380881005</c:v>
                </c:pt>
                <c:pt idx="7">
                  <c:v>91.0628082151444</c:v>
                </c:pt>
                <c:pt idx="8">
                  <c:v>97.653138306554794</c:v>
                </c:pt>
                <c:pt idx="9">
                  <c:v>102.759761730466</c:v>
                </c:pt>
                <c:pt idx="10">
                  <c:v>104.79739342716699</c:v>
                </c:pt>
                <c:pt idx="11">
                  <c:v>108.114689976882</c:v>
                </c:pt>
                <c:pt idx="12">
                  <c:v>119.95391235965199</c:v>
                </c:pt>
                <c:pt idx="13">
                  <c:v>123.17752272072801</c:v>
                </c:pt>
                <c:pt idx="14">
                  <c:v>119.44003238595</c:v>
                </c:pt>
                <c:pt idx="15">
                  <c:v>123.652564365548</c:v>
                </c:pt>
                <c:pt idx="16">
                  <c:v>133.677570350487</c:v>
                </c:pt>
                <c:pt idx="17">
                  <c:v>127.995746383542</c:v>
                </c:pt>
                <c:pt idx="18">
                  <c:v>122.741873834778</c:v>
                </c:pt>
                <c:pt idx="19">
                  <c:v>120.729685556701</c:v>
                </c:pt>
                <c:pt idx="20">
                  <c:v>118.27300798271899</c:v>
                </c:pt>
                <c:pt idx="21">
                  <c:v>121.17473941006401</c:v>
                </c:pt>
                <c:pt idx="22">
                  <c:v>125.93159448217899</c:v>
                </c:pt>
                <c:pt idx="23">
                  <c:v>129.14855373768199</c:v>
                </c:pt>
                <c:pt idx="24">
                  <c:v>133.22815877678801</c:v>
                </c:pt>
                <c:pt idx="25">
                  <c:v>138.63972328541001</c:v>
                </c:pt>
                <c:pt idx="26">
                  <c:v>158.68903056943299</c:v>
                </c:pt>
                <c:pt idx="27">
                  <c:v>164.603129692051</c:v>
                </c:pt>
              </c:numCache>
            </c:numRef>
          </c:val>
          <c:extLst>
            <c:ext xmlns:c16="http://schemas.microsoft.com/office/drawing/2014/chart" uri="{C3380CC4-5D6E-409C-BE32-E72D297353CC}">
              <c16:uniqueId val="{00000000-1582-4B69-A5C6-F5D8720E6D25}"/>
            </c:ext>
          </c:extLst>
        </c:ser>
        <c:dLbls>
          <c:showLegendKey val="0"/>
          <c:showVal val="0"/>
          <c:showCatName val="0"/>
          <c:showSerName val="0"/>
          <c:showPercent val="0"/>
          <c:showBubbleSize val="0"/>
        </c:dLbls>
        <c:gapWidth val="219"/>
        <c:overlap val="-27"/>
        <c:axId val="19727776"/>
        <c:axId val="19726944"/>
      </c:barChart>
      <c:catAx>
        <c:axId val="1972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crossAx val="19726944"/>
        <c:crosses val="autoZero"/>
        <c:auto val="1"/>
        <c:lblAlgn val="ctr"/>
        <c:lblOffset val="100"/>
        <c:noMultiLvlLbl val="0"/>
      </c:catAx>
      <c:valAx>
        <c:axId val="19726944"/>
        <c:scaling>
          <c:orientation val="minMax"/>
          <c:min val="6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crossAx val="19727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l-GR" sz="900" b="1"/>
              <a:t>Τιμή</a:t>
            </a:r>
            <a:r>
              <a:rPr lang="el-GR" sz="900" b="1" baseline="0"/>
              <a:t> Ηλιέλαιου (</a:t>
            </a:r>
            <a:r>
              <a:rPr lang="en-US" sz="900" b="1" baseline="0"/>
              <a:t>USD/mt)</a:t>
            </a:r>
          </a:p>
          <a:p>
            <a:pPr>
              <a:defRPr sz="700"/>
            </a:pPr>
            <a:r>
              <a:rPr lang="el-GR" sz="900" b="1" baseline="0"/>
              <a:t>Παγκόσμια Τράπεζα</a:t>
            </a:r>
            <a:endParaRPr lang="en-US" sz="900" b="1"/>
          </a:p>
        </c:rich>
      </c:tx>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'Monthly Prices'!$A$728:$A$755</c:f>
              <c:strCache>
                <c:ptCount val="28"/>
                <c:pt idx="0">
                  <c:v>2020M01</c:v>
                </c:pt>
                <c:pt idx="1">
                  <c:v>2020M02</c:v>
                </c:pt>
                <c:pt idx="2">
                  <c:v>2020M03</c:v>
                </c:pt>
                <c:pt idx="3">
                  <c:v>2020M04</c:v>
                </c:pt>
                <c:pt idx="4">
                  <c:v>2020M05</c:v>
                </c:pt>
                <c:pt idx="5">
                  <c:v>2020M06</c:v>
                </c:pt>
                <c:pt idx="6">
                  <c:v>2020M07</c:v>
                </c:pt>
                <c:pt idx="7">
                  <c:v>2020M08</c:v>
                </c:pt>
                <c:pt idx="8">
                  <c:v>2020M09</c:v>
                </c:pt>
                <c:pt idx="9">
                  <c:v>2020M10</c:v>
                </c:pt>
                <c:pt idx="10">
                  <c:v>2020M11</c:v>
                </c:pt>
                <c:pt idx="11">
                  <c:v>2020M12</c:v>
                </c:pt>
                <c:pt idx="12">
                  <c:v>2021M01</c:v>
                </c:pt>
                <c:pt idx="13">
                  <c:v>2021M02</c:v>
                </c:pt>
                <c:pt idx="14">
                  <c:v>2021M03</c:v>
                </c:pt>
                <c:pt idx="15">
                  <c:v>2021M04</c:v>
                </c:pt>
                <c:pt idx="16">
                  <c:v>2021M05</c:v>
                </c:pt>
                <c:pt idx="17">
                  <c:v>2021M06</c:v>
                </c:pt>
                <c:pt idx="18">
                  <c:v>2021M07</c:v>
                </c:pt>
                <c:pt idx="19">
                  <c:v>2021M08</c:v>
                </c:pt>
                <c:pt idx="20">
                  <c:v>2021M09</c:v>
                </c:pt>
                <c:pt idx="21">
                  <c:v>2021M10</c:v>
                </c:pt>
                <c:pt idx="22">
                  <c:v>2021M11</c:v>
                </c:pt>
                <c:pt idx="23">
                  <c:v>2021M12</c:v>
                </c:pt>
                <c:pt idx="24">
                  <c:v>2022M01</c:v>
                </c:pt>
                <c:pt idx="25">
                  <c:v>2022M02</c:v>
                </c:pt>
                <c:pt idx="26">
                  <c:v>2022M03</c:v>
                </c:pt>
                <c:pt idx="27">
                  <c:v>2022M04</c:v>
                </c:pt>
              </c:strCache>
            </c:strRef>
          </c:cat>
          <c:val>
            <c:numRef>
              <c:f>'Monthly Prices'!$AC$728:$AC$755</c:f>
              <c:numCache>
                <c:formatCode>0.00</c:formatCode>
                <c:ptCount val="28"/>
                <c:pt idx="0">
                  <c:v>806.91</c:v>
                </c:pt>
                <c:pt idx="1">
                  <c:v>823</c:v>
                </c:pt>
                <c:pt idx="2">
                  <c:v>730</c:v>
                </c:pt>
                <c:pt idx="3">
                  <c:v>732.1</c:v>
                </c:pt>
                <c:pt idx="4">
                  <c:v>738.26</c:v>
                </c:pt>
                <c:pt idx="5">
                  <c:v>788.36</c:v>
                </c:pt>
                <c:pt idx="6">
                  <c:v>833.17</c:v>
                </c:pt>
                <c:pt idx="7">
                  <c:v>877.14</c:v>
                </c:pt>
                <c:pt idx="8">
                  <c:v>982.38482384823897</c:v>
                </c:pt>
                <c:pt idx="9">
                  <c:v>981.40243902438999</c:v>
                </c:pt>
                <c:pt idx="10">
                  <c:v>1109.1124661246599</c:v>
                </c:pt>
                <c:pt idx="11">
                  <c:v>1170.02032520325</c:v>
                </c:pt>
                <c:pt idx="12">
                  <c:v>1276.1178861788601</c:v>
                </c:pt>
                <c:pt idx="13">
                  <c:v>1362.56775067751</c:v>
                </c:pt>
                <c:pt idx="14">
                  <c:v>1611.1111111111099</c:v>
                </c:pt>
                <c:pt idx="15">
                  <c:v>1572.7981029810301</c:v>
                </c:pt>
                <c:pt idx="16">
                  <c:v>1584.58672086721</c:v>
                </c:pt>
                <c:pt idx="17">
                  <c:v>1296.74796747967</c:v>
                </c:pt>
                <c:pt idx="18">
                  <c:v>1282.0121951219501</c:v>
                </c:pt>
                <c:pt idx="19">
                  <c:v>1355.6910569105701</c:v>
                </c:pt>
                <c:pt idx="20">
                  <c:v>1309.5189701897</c:v>
                </c:pt>
                <c:pt idx="21">
                  <c:v>1420.5284552845501</c:v>
                </c:pt>
                <c:pt idx="22">
                  <c:v>1415.6165311653101</c:v>
                </c:pt>
                <c:pt idx="23">
                  <c:v>1361.8309620596201</c:v>
                </c:pt>
                <c:pt idx="24">
                  <c:v>1411.73</c:v>
                </c:pt>
                <c:pt idx="25">
                  <c:v>1499.12</c:v>
                </c:pt>
                <c:pt idx="26">
                  <c:v>2361.13</c:v>
                </c:pt>
                <c:pt idx="27">
                  <c:v>2275.7600000000002</c:v>
                </c:pt>
              </c:numCache>
            </c:numRef>
          </c:val>
          <c:extLst>
            <c:ext xmlns:c16="http://schemas.microsoft.com/office/drawing/2014/chart" uri="{C3380CC4-5D6E-409C-BE32-E72D297353CC}">
              <c16:uniqueId val="{00000000-9759-4588-9309-C78B1FAC330B}"/>
            </c:ext>
          </c:extLst>
        </c:ser>
        <c:dLbls>
          <c:showLegendKey val="0"/>
          <c:showVal val="0"/>
          <c:showCatName val="0"/>
          <c:showSerName val="0"/>
          <c:showPercent val="0"/>
          <c:showBubbleSize val="0"/>
        </c:dLbls>
        <c:gapWidth val="219"/>
        <c:overlap val="-27"/>
        <c:axId val="140785568"/>
        <c:axId val="140788896"/>
      </c:barChart>
      <c:catAx>
        <c:axId val="14078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crossAx val="140788896"/>
        <c:crosses val="autoZero"/>
        <c:auto val="1"/>
        <c:lblAlgn val="ctr"/>
        <c:lblOffset val="100"/>
        <c:noMultiLvlLbl val="0"/>
      </c:catAx>
      <c:valAx>
        <c:axId val="1407888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crossAx val="140785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l-GR" sz="900" b="1"/>
              <a:t>Δείκτης τιμών μετάλλων</a:t>
            </a:r>
          </a:p>
          <a:p>
            <a:pPr>
              <a:defRPr sz="700"/>
            </a:pPr>
            <a:r>
              <a:rPr lang="el-GR" sz="900" b="1"/>
              <a:t>Παγκόσμια Τράπεζα </a:t>
            </a:r>
          </a:p>
        </c:rich>
      </c:tx>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'Monthly Indices'!$A$731:$A$758</c:f>
              <c:strCache>
                <c:ptCount val="28"/>
                <c:pt idx="0">
                  <c:v>2020M01</c:v>
                </c:pt>
                <c:pt idx="1">
                  <c:v>2020M02</c:v>
                </c:pt>
                <c:pt idx="2">
                  <c:v>2020M03</c:v>
                </c:pt>
                <c:pt idx="3">
                  <c:v>2020M04</c:v>
                </c:pt>
                <c:pt idx="4">
                  <c:v>2020M05</c:v>
                </c:pt>
                <c:pt idx="5">
                  <c:v>2020M06</c:v>
                </c:pt>
                <c:pt idx="6">
                  <c:v>2020M07</c:v>
                </c:pt>
                <c:pt idx="7">
                  <c:v>2020M08</c:v>
                </c:pt>
                <c:pt idx="8">
                  <c:v>2020M09</c:v>
                </c:pt>
                <c:pt idx="9">
                  <c:v>2020M10</c:v>
                </c:pt>
                <c:pt idx="10">
                  <c:v>2020M11</c:v>
                </c:pt>
                <c:pt idx="11">
                  <c:v>2020M12</c:v>
                </c:pt>
                <c:pt idx="12">
                  <c:v>2021M01</c:v>
                </c:pt>
                <c:pt idx="13">
                  <c:v>2021M02</c:v>
                </c:pt>
                <c:pt idx="14">
                  <c:v>2021M03</c:v>
                </c:pt>
                <c:pt idx="15">
                  <c:v>2021M04</c:v>
                </c:pt>
                <c:pt idx="16">
                  <c:v>2021M05</c:v>
                </c:pt>
                <c:pt idx="17">
                  <c:v>2021M06</c:v>
                </c:pt>
                <c:pt idx="18">
                  <c:v>2021M07</c:v>
                </c:pt>
                <c:pt idx="19">
                  <c:v>2021M08</c:v>
                </c:pt>
                <c:pt idx="20">
                  <c:v>2021M09</c:v>
                </c:pt>
                <c:pt idx="21">
                  <c:v>2021M10</c:v>
                </c:pt>
                <c:pt idx="22">
                  <c:v>2021M11</c:v>
                </c:pt>
                <c:pt idx="23">
                  <c:v>2021M12</c:v>
                </c:pt>
                <c:pt idx="24">
                  <c:v>2022M01</c:v>
                </c:pt>
                <c:pt idx="25">
                  <c:v>2022M02</c:v>
                </c:pt>
                <c:pt idx="26">
                  <c:v>2022M03</c:v>
                </c:pt>
                <c:pt idx="27">
                  <c:v>2022M04</c:v>
                </c:pt>
              </c:strCache>
            </c:strRef>
          </c:cat>
          <c:val>
            <c:numRef>
              <c:f>'Monthly Indices'!$N$731:$N$758</c:f>
              <c:numCache>
                <c:formatCode>0.00</c:formatCode>
                <c:ptCount val="28"/>
                <c:pt idx="0">
                  <c:v>77.702231745619599</c:v>
                </c:pt>
                <c:pt idx="1">
                  <c:v>73.0158688497593</c:v>
                </c:pt>
                <c:pt idx="2">
                  <c:v>68.706871482918999</c:v>
                </c:pt>
                <c:pt idx="3">
                  <c:v>65.551734563411401</c:v>
                </c:pt>
                <c:pt idx="4">
                  <c:v>68.006356097564407</c:v>
                </c:pt>
                <c:pt idx="5">
                  <c:v>73.678462607147395</c:v>
                </c:pt>
                <c:pt idx="6">
                  <c:v>79.089703956833603</c:v>
                </c:pt>
                <c:pt idx="7">
                  <c:v>83.480602178695506</c:v>
                </c:pt>
                <c:pt idx="8">
                  <c:v>85.115304619144993</c:v>
                </c:pt>
                <c:pt idx="9">
                  <c:v>85.492791714563296</c:v>
                </c:pt>
                <c:pt idx="10">
                  <c:v>90.279613714414396</c:v>
                </c:pt>
                <c:pt idx="11">
                  <c:v>99.650512848391799</c:v>
                </c:pt>
                <c:pt idx="12">
                  <c:v>102.839301659217</c:v>
                </c:pt>
                <c:pt idx="13">
                  <c:v>106.392356420692</c:v>
                </c:pt>
                <c:pt idx="14">
                  <c:v>110.221388941768</c:v>
                </c:pt>
                <c:pt idx="15">
                  <c:v>115.32305325422099</c:v>
                </c:pt>
                <c:pt idx="16">
                  <c:v>125.793313171628</c:v>
                </c:pt>
                <c:pt idx="17">
                  <c:v>124.27319007870901</c:v>
                </c:pt>
                <c:pt idx="18">
                  <c:v>124.520601408736</c:v>
                </c:pt>
                <c:pt idx="19">
                  <c:v>119.04408323908299</c:v>
                </c:pt>
                <c:pt idx="20">
                  <c:v>116.812990718569</c:v>
                </c:pt>
                <c:pt idx="21">
                  <c:v>121.380963643485</c:v>
                </c:pt>
                <c:pt idx="22">
                  <c:v>114.017170456494</c:v>
                </c:pt>
                <c:pt idx="23">
                  <c:v>116.71518298656601</c:v>
                </c:pt>
                <c:pt idx="24">
                  <c:v>125.229641272303</c:v>
                </c:pt>
                <c:pt idx="25">
                  <c:v>131.17650136422199</c:v>
                </c:pt>
                <c:pt idx="26">
                  <c:v>141.28333939753699</c:v>
                </c:pt>
                <c:pt idx="27">
                  <c:v>138.094142812184</c:v>
                </c:pt>
              </c:numCache>
            </c:numRef>
          </c:val>
          <c:extLst>
            <c:ext xmlns:c16="http://schemas.microsoft.com/office/drawing/2014/chart" uri="{C3380CC4-5D6E-409C-BE32-E72D297353CC}">
              <c16:uniqueId val="{00000000-75B6-4188-A0B3-2844024BF5E4}"/>
            </c:ext>
          </c:extLst>
        </c:ser>
        <c:dLbls>
          <c:showLegendKey val="0"/>
          <c:showVal val="0"/>
          <c:showCatName val="0"/>
          <c:showSerName val="0"/>
          <c:showPercent val="0"/>
          <c:showBubbleSize val="0"/>
        </c:dLbls>
        <c:gapWidth val="219"/>
        <c:overlap val="-27"/>
        <c:axId val="308537552"/>
        <c:axId val="308535472"/>
      </c:barChart>
      <c:catAx>
        <c:axId val="30853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08535472"/>
        <c:crosses val="autoZero"/>
        <c:auto val="1"/>
        <c:lblAlgn val="ctr"/>
        <c:lblOffset val="100"/>
        <c:noMultiLvlLbl val="0"/>
      </c:catAx>
      <c:valAx>
        <c:axId val="308535472"/>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08537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500" b="0" i="0" u="none" strike="noStrike" kern="1200" spc="0" baseline="0">
                <a:solidFill>
                  <a:schemeClr val="tx1">
                    <a:lumMod val="65000"/>
                    <a:lumOff val="35000"/>
                  </a:schemeClr>
                </a:solidFill>
                <a:latin typeface="+mn-lt"/>
                <a:ea typeface="+mn-ea"/>
                <a:cs typeface="+mn-cs"/>
              </a:defRPr>
            </a:pPr>
            <a:r>
              <a:rPr lang="el-GR" sz="900" b="1"/>
              <a:t>Δείκτης Πιέσεων στην αλυσίδα διανομής</a:t>
            </a:r>
          </a:p>
          <a:p>
            <a:pPr>
              <a:defRPr sz="500"/>
            </a:pPr>
            <a:r>
              <a:rPr lang="en-US" sz="900" b="1"/>
              <a:t>Supply Chain Pressure Index</a:t>
            </a:r>
          </a:p>
          <a:p>
            <a:pPr>
              <a:defRPr sz="500"/>
            </a:pPr>
            <a:r>
              <a:rPr lang="en-US" sz="900" b="1"/>
              <a:t>NY</a:t>
            </a:r>
            <a:r>
              <a:rPr lang="en-US" sz="900" b="1" baseline="0"/>
              <a:t> Fed</a:t>
            </a:r>
          </a:p>
        </c:rich>
      </c:tx>
      <c:overlay val="0"/>
      <c:spPr>
        <a:noFill/>
        <a:ln>
          <a:noFill/>
        </a:ln>
        <a:effectLst/>
      </c:spPr>
      <c:txPr>
        <a:bodyPr rot="0" spcFirstLastPara="1" vertOverflow="ellipsis" vert="horz" wrap="square" anchor="ctr" anchorCtr="1"/>
        <a:lstStyle/>
        <a:p>
          <a:pPr>
            <a:defRPr sz="5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Διεθνής αγορά </c:v>
          </c:tx>
          <c:spPr>
            <a:ln w="22225" cap="rnd">
              <a:solidFill>
                <a:srgbClr val="4472C4">
                  <a:alpha val="65000"/>
                </a:srgbClr>
              </a:solidFill>
              <a:round/>
            </a:ln>
            <a:effectLst/>
          </c:spPr>
          <c:marker>
            <c:symbol val="none"/>
          </c:marker>
          <c:cat>
            <c:strRef>
              <c:f>'[supply-chain-update__benigno_data.xlsx]SCPI'!$A$274:$A$299</c:f>
              <c:strCache>
                <c:ptCount val="26"/>
                <c:pt idx="0">
                  <c:v>31-Jan-2020</c:v>
                </c:pt>
                <c:pt idx="1">
                  <c:v>29-Feb-2020</c:v>
                </c:pt>
                <c:pt idx="2">
                  <c:v>31-Mar-2020</c:v>
                </c:pt>
                <c:pt idx="3">
                  <c:v>30-Apr-2020</c:v>
                </c:pt>
                <c:pt idx="4">
                  <c:v>31-May-2020</c:v>
                </c:pt>
                <c:pt idx="5">
                  <c:v>30-Jun-2020</c:v>
                </c:pt>
                <c:pt idx="6">
                  <c:v>31-Jul-2020</c:v>
                </c:pt>
                <c:pt idx="7">
                  <c:v>31-Aug-2020</c:v>
                </c:pt>
                <c:pt idx="8">
                  <c:v>30-Sep-2020</c:v>
                </c:pt>
                <c:pt idx="9">
                  <c:v>31-Oct-2020</c:v>
                </c:pt>
                <c:pt idx="10">
                  <c:v>30-Nov-2020</c:v>
                </c:pt>
                <c:pt idx="11">
                  <c:v>31-Dec-2020</c:v>
                </c:pt>
                <c:pt idx="12">
                  <c:v>31-Jan-2021</c:v>
                </c:pt>
                <c:pt idx="13">
                  <c:v>28-Feb-2021</c:v>
                </c:pt>
                <c:pt idx="14">
                  <c:v>31-Mar-2021</c:v>
                </c:pt>
                <c:pt idx="15">
                  <c:v>30-Apr-2021</c:v>
                </c:pt>
                <c:pt idx="16">
                  <c:v>31-May-2021</c:v>
                </c:pt>
                <c:pt idx="17">
                  <c:v>30-Jun-2021</c:v>
                </c:pt>
                <c:pt idx="18">
                  <c:v>31-Jul-2021</c:v>
                </c:pt>
                <c:pt idx="19">
                  <c:v>31-Aug-2021</c:v>
                </c:pt>
                <c:pt idx="20">
                  <c:v>30-Sep-2021</c:v>
                </c:pt>
                <c:pt idx="21">
                  <c:v>31-Oct-2021</c:v>
                </c:pt>
                <c:pt idx="22">
                  <c:v>30-Nov-2021</c:v>
                </c:pt>
                <c:pt idx="23">
                  <c:v>31-Dec-2021</c:v>
                </c:pt>
                <c:pt idx="24">
                  <c:v>31-Jan-2022</c:v>
                </c:pt>
                <c:pt idx="25">
                  <c:v>28-Feb-2022</c:v>
                </c:pt>
              </c:strCache>
            </c:strRef>
          </c:cat>
          <c:val>
            <c:numRef>
              <c:f>'[supply-chain-update__benigno_data.xlsx]SCPI'!$B$274:$B$299</c:f>
              <c:numCache>
                <c:formatCode>0.00</c:formatCode>
                <c:ptCount val="26"/>
                <c:pt idx="0">
                  <c:v>5.9189686621459334E-2</c:v>
                </c:pt>
                <c:pt idx="1">
                  <c:v>1.2549328419378349</c:v>
                </c:pt>
                <c:pt idx="2">
                  <c:v>2.7689120383719894</c:v>
                </c:pt>
                <c:pt idx="3">
                  <c:v>3.596473352260003</c:v>
                </c:pt>
                <c:pt idx="4">
                  <c:v>2.8558316033904858</c:v>
                </c:pt>
                <c:pt idx="5">
                  <c:v>2.6015517559284707</c:v>
                </c:pt>
                <c:pt idx="6">
                  <c:v>2.9134268139148052</c:v>
                </c:pt>
                <c:pt idx="7">
                  <c:v>1.3438034318737817</c:v>
                </c:pt>
                <c:pt idx="8">
                  <c:v>0.68108564661466353</c:v>
                </c:pt>
                <c:pt idx="9">
                  <c:v>0.20791385259131018</c:v>
                </c:pt>
                <c:pt idx="10">
                  <c:v>0.84466542069764061</c:v>
                </c:pt>
                <c:pt idx="11">
                  <c:v>1.7992457903746955</c:v>
                </c:pt>
                <c:pt idx="12">
                  <c:v>1.6083025847238701</c:v>
                </c:pt>
                <c:pt idx="13">
                  <c:v>2.0883811519588313</c:v>
                </c:pt>
                <c:pt idx="14">
                  <c:v>2.3305015484165752</c:v>
                </c:pt>
                <c:pt idx="15">
                  <c:v>2.6454692789458223</c:v>
                </c:pt>
                <c:pt idx="16">
                  <c:v>3.1314970779905908</c:v>
                </c:pt>
                <c:pt idx="17">
                  <c:v>2.8757491193265157</c:v>
                </c:pt>
                <c:pt idx="18">
                  <c:v>3.1915266938406832</c:v>
                </c:pt>
                <c:pt idx="19">
                  <c:v>3.4707037197195816</c:v>
                </c:pt>
                <c:pt idx="20">
                  <c:v>3.5086481649888004</c:v>
                </c:pt>
                <c:pt idx="21">
                  <c:v>4.0220875159757812</c:v>
                </c:pt>
                <c:pt idx="22">
                  <c:v>4.4518288773624661</c:v>
                </c:pt>
                <c:pt idx="23">
                  <c:v>4.5002818699581741</c:v>
                </c:pt>
                <c:pt idx="24">
                  <c:v>3.8189543550834579</c:v>
                </c:pt>
                <c:pt idx="25">
                  <c:v>3.3115875138922557</c:v>
                </c:pt>
              </c:numCache>
            </c:numRef>
          </c:val>
          <c:smooth val="0"/>
          <c:extLst>
            <c:ext xmlns:c16="http://schemas.microsoft.com/office/drawing/2014/chart" uri="{C3380CC4-5D6E-409C-BE32-E72D297353CC}">
              <c16:uniqueId val="{00000000-847B-405E-9EE1-576D590B01EB}"/>
            </c:ext>
          </c:extLst>
        </c:ser>
        <c:ser>
          <c:idx val="1"/>
          <c:order val="1"/>
          <c:tx>
            <c:v>Ευρωζώνη</c:v>
          </c:tx>
          <c:spPr>
            <a:ln w="34925" cap="rnd">
              <a:solidFill>
                <a:srgbClr val="FF0000"/>
              </a:solidFill>
              <a:round/>
            </a:ln>
            <a:effectLst/>
          </c:spPr>
          <c:marker>
            <c:symbol val="none"/>
          </c:marker>
          <c:cat>
            <c:strRef>
              <c:f>'[supply-chain-update__benigno_data.xlsx]SCPI'!$A$274:$A$299</c:f>
              <c:strCache>
                <c:ptCount val="26"/>
                <c:pt idx="0">
                  <c:v>31-Jan-2020</c:v>
                </c:pt>
                <c:pt idx="1">
                  <c:v>29-Feb-2020</c:v>
                </c:pt>
                <c:pt idx="2">
                  <c:v>31-Mar-2020</c:v>
                </c:pt>
                <c:pt idx="3">
                  <c:v>30-Apr-2020</c:v>
                </c:pt>
                <c:pt idx="4">
                  <c:v>31-May-2020</c:v>
                </c:pt>
                <c:pt idx="5">
                  <c:v>30-Jun-2020</c:v>
                </c:pt>
                <c:pt idx="6">
                  <c:v>31-Jul-2020</c:v>
                </c:pt>
                <c:pt idx="7">
                  <c:v>31-Aug-2020</c:v>
                </c:pt>
                <c:pt idx="8">
                  <c:v>30-Sep-2020</c:v>
                </c:pt>
                <c:pt idx="9">
                  <c:v>31-Oct-2020</c:v>
                </c:pt>
                <c:pt idx="10">
                  <c:v>30-Nov-2020</c:v>
                </c:pt>
                <c:pt idx="11">
                  <c:v>31-Dec-2020</c:v>
                </c:pt>
                <c:pt idx="12">
                  <c:v>31-Jan-2021</c:v>
                </c:pt>
                <c:pt idx="13">
                  <c:v>28-Feb-2021</c:v>
                </c:pt>
                <c:pt idx="14">
                  <c:v>31-Mar-2021</c:v>
                </c:pt>
                <c:pt idx="15">
                  <c:v>30-Apr-2021</c:v>
                </c:pt>
                <c:pt idx="16">
                  <c:v>31-May-2021</c:v>
                </c:pt>
                <c:pt idx="17">
                  <c:v>30-Jun-2021</c:v>
                </c:pt>
                <c:pt idx="18">
                  <c:v>31-Jul-2021</c:v>
                </c:pt>
                <c:pt idx="19">
                  <c:v>31-Aug-2021</c:v>
                </c:pt>
                <c:pt idx="20">
                  <c:v>30-Sep-2021</c:v>
                </c:pt>
                <c:pt idx="21">
                  <c:v>31-Oct-2021</c:v>
                </c:pt>
                <c:pt idx="22">
                  <c:v>30-Nov-2021</c:v>
                </c:pt>
                <c:pt idx="23">
                  <c:v>31-Dec-2021</c:v>
                </c:pt>
                <c:pt idx="24">
                  <c:v>31-Jan-2022</c:v>
                </c:pt>
                <c:pt idx="25">
                  <c:v>28-Feb-2022</c:v>
                </c:pt>
              </c:strCache>
            </c:strRef>
          </c:cat>
          <c:val>
            <c:numRef>
              <c:f>'[supply-chain-update__benigno_data.xlsx]SCPI'!$C$274:$C$299</c:f>
              <c:numCache>
                <c:formatCode>0.00</c:formatCode>
                <c:ptCount val="26"/>
                <c:pt idx="0">
                  <c:v>-0.13173382152753313</c:v>
                </c:pt>
                <c:pt idx="1">
                  <c:v>-0.59528215806603968</c:v>
                </c:pt>
                <c:pt idx="2">
                  <c:v>1.0625177536599837</c:v>
                </c:pt>
                <c:pt idx="3">
                  <c:v>0.99237720730296386</c:v>
                </c:pt>
                <c:pt idx="4">
                  <c:v>1.2607928852564463</c:v>
                </c:pt>
                <c:pt idx="5">
                  <c:v>3.4981316987574789</c:v>
                </c:pt>
                <c:pt idx="6">
                  <c:v>2.9327845242427322</c:v>
                </c:pt>
                <c:pt idx="7">
                  <c:v>2.3222998440460807</c:v>
                </c:pt>
                <c:pt idx="8">
                  <c:v>0.44360373817510712</c:v>
                </c:pt>
                <c:pt idx="9">
                  <c:v>-0.65604369153566655</c:v>
                </c:pt>
                <c:pt idx="10">
                  <c:v>0.18008283103692807</c:v>
                </c:pt>
                <c:pt idx="11">
                  <c:v>1.4697461575645288</c:v>
                </c:pt>
                <c:pt idx="12">
                  <c:v>0.45415175966961896</c:v>
                </c:pt>
                <c:pt idx="13">
                  <c:v>0.66998639733988552</c:v>
                </c:pt>
                <c:pt idx="14">
                  <c:v>0.66117367328510313</c:v>
                </c:pt>
                <c:pt idx="15">
                  <c:v>1.8708663977682098</c:v>
                </c:pt>
                <c:pt idx="16">
                  <c:v>2.3313431255040471</c:v>
                </c:pt>
                <c:pt idx="17">
                  <c:v>0.43656052729224837</c:v>
                </c:pt>
                <c:pt idx="18">
                  <c:v>9.0655131753826668E-2</c:v>
                </c:pt>
                <c:pt idx="19">
                  <c:v>0.46931640805692254</c:v>
                </c:pt>
                <c:pt idx="20">
                  <c:v>0.79819628953218036</c:v>
                </c:pt>
                <c:pt idx="21">
                  <c:v>0.79374602620491852</c:v>
                </c:pt>
                <c:pt idx="22">
                  <c:v>0.73087162426726937</c:v>
                </c:pt>
                <c:pt idx="23">
                  <c:v>1.3169699120963805</c:v>
                </c:pt>
                <c:pt idx="24">
                  <c:v>1.4009907614875972</c:v>
                </c:pt>
                <c:pt idx="25">
                  <c:v>1.4060408211015942</c:v>
                </c:pt>
              </c:numCache>
            </c:numRef>
          </c:val>
          <c:smooth val="0"/>
          <c:extLst>
            <c:ext xmlns:c16="http://schemas.microsoft.com/office/drawing/2014/chart" uri="{C3380CC4-5D6E-409C-BE32-E72D297353CC}">
              <c16:uniqueId val="{00000001-847B-405E-9EE1-576D590B01EB}"/>
            </c:ext>
          </c:extLst>
        </c:ser>
        <c:dLbls>
          <c:showLegendKey val="0"/>
          <c:showVal val="0"/>
          <c:showCatName val="0"/>
          <c:showSerName val="0"/>
          <c:showPercent val="0"/>
          <c:showBubbleSize val="0"/>
        </c:dLbls>
        <c:smooth val="0"/>
        <c:axId val="541201599"/>
        <c:axId val="542016943"/>
      </c:lineChart>
      <c:catAx>
        <c:axId val="541201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crossAx val="542016943"/>
        <c:crosses val="autoZero"/>
        <c:auto val="1"/>
        <c:lblAlgn val="ctr"/>
        <c:lblOffset val="100"/>
        <c:noMultiLvlLbl val="0"/>
      </c:catAx>
      <c:valAx>
        <c:axId val="54201694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crossAx val="541201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1D1A4-9BAC-4526-98F5-C8229E5D0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1068</Words>
  <Characters>6092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Michalis Persianis</dc:creator>
  <cp:keywords/>
  <dc:description/>
  <cp:lastModifiedBy>Christodoulos Anastasiou</cp:lastModifiedBy>
  <cp:revision>2</cp:revision>
  <dcterms:created xsi:type="dcterms:W3CDTF">2022-07-04T05:30:00Z</dcterms:created>
  <dcterms:modified xsi:type="dcterms:W3CDTF">2022-07-04T05:30:00Z</dcterms:modified>
</cp:coreProperties>
</file>