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05971" w14:textId="20EB7ED8" w:rsidR="00A97DBF" w:rsidRDefault="00A97DBF" w:rsidP="00A97DBF">
      <w:pPr>
        <w:tabs>
          <w:tab w:val="left" w:pos="1077"/>
        </w:tabs>
        <w:spacing w:before="160" w:after="0" w:line="264" w:lineRule="auto"/>
        <w:jc w:val="center"/>
        <w:rPr>
          <w:rFonts w:ascii="Calibri" w:hAnsi="Calibri" w:cs="Calibri"/>
          <w:b/>
          <w:bCs/>
          <w:sz w:val="24"/>
          <w:szCs w:val="24"/>
          <w:lang w:val="el-GR"/>
        </w:rPr>
      </w:pPr>
      <w:bookmarkStart w:id="0" w:name="OLE_LINK1"/>
      <w:bookmarkStart w:id="1" w:name="OLE_LINK2"/>
      <w:r>
        <w:rPr>
          <w:rFonts w:ascii="Calibri" w:hAnsi="Calibri" w:cs="Calibri"/>
          <w:b/>
          <w:bCs/>
          <w:sz w:val="24"/>
          <w:szCs w:val="24"/>
          <w:lang w:val="el-GR"/>
        </w:rPr>
        <w:t>ΣΥΝΟΠΤΙΚΟ ΣΗΜΕΙΩΜΑ</w:t>
      </w:r>
    </w:p>
    <w:p w14:paraId="2F2AC84E" w14:textId="1652F629" w:rsidR="004F4C65" w:rsidRDefault="00DD0EC5" w:rsidP="00DD0EC5">
      <w:pPr>
        <w:tabs>
          <w:tab w:val="left" w:pos="1077"/>
        </w:tabs>
        <w:spacing w:before="160" w:after="0" w:line="264" w:lineRule="auto"/>
        <w:jc w:val="center"/>
        <w:rPr>
          <w:rFonts w:ascii="Calibri" w:hAnsi="Calibri" w:cs="Calibri"/>
          <w:b/>
          <w:bCs/>
          <w:sz w:val="24"/>
          <w:szCs w:val="24"/>
          <w:lang w:val="el-GR"/>
        </w:rPr>
      </w:pPr>
      <w:r w:rsidRPr="00DD0EC5">
        <w:rPr>
          <w:rFonts w:ascii="Calibri" w:hAnsi="Calibri" w:cs="Calibri"/>
          <w:b/>
          <w:bCs/>
          <w:sz w:val="24"/>
          <w:szCs w:val="24"/>
          <w:lang w:val="el-GR"/>
        </w:rPr>
        <w:t>Στέγαση</w:t>
      </w:r>
      <w:r w:rsidRPr="005A486E">
        <w:rPr>
          <w:rFonts w:ascii="Calibri" w:hAnsi="Calibri" w:cs="Calibri"/>
          <w:b/>
          <w:bCs/>
          <w:sz w:val="24"/>
          <w:szCs w:val="24"/>
          <w:lang w:val="el-GR"/>
        </w:rPr>
        <w:t xml:space="preserve"> </w:t>
      </w:r>
      <w:r w:rsidRPr="00DD0EC5">
        <w:rPr>
          <w:rFonts w:ascii="Calibri" w:hAnsi="Calibri" w:cs="Calibri"/>
          <w:b/>
          <w:bCs/>
          <w:sz w:val="24"/>
          <w:szCs w:val="24"/>
          <w:lang w:val="el-GR"/>
        </w:rPr>
        <w:t>στην</w:t>
      </w:r>
      <w:r w:rsidRPr="005A486E">
        <w:rPr>
          <w:rFonts w:ascii="Calibri" w:hAnsi="Calibri" w:cs="Calibri"/>
          <w:b/>
          <w:bCs/>
          <w:sz w:val="24"/>
          <w:szCs w:val="24"/>
          <w:lang w:val="el-GR"/>
        </w:rPr>
        <w:t xml:space="preserve"> </w:t>
      </w:r>
      <w:r w:rsidRPr="00DD0EC5">
        <w:rPr>
          <w:rFonts w:ascii="Calibri" w:hAnsi="Calibri" w:cs="Calibri"/>
          <w:b/>
          <w:bCs/>
          <w:sz w:val="24"/>
          <w:szCs w:val="24"/>
          <w:lang w:val="el-GR"/>
        </w:rPr>
        <w:t>Κύπρο</w:t>
      </w:r>
    </w:p>
    <w:p w14:paraId="07BA3A6C" w14:textId="0D604731" w:rsidR="00F225FE" w:rsidRPr="005A486E" w:rsidRDefault="00F225FE" w:rsidP="00DD0EC5">
      <w:pPr>
        <w:tabs>
          <w:tab w:val="left" w:pos="1077"/>
        </w:tabs>
        <w:spacing w:before="160" w:after="0" w:line="264" w:lineRule="auto"/>
        <w:jc w:val="center"/>
        <w:rPr>
          <w:rFonts w:ascii="Calibri" w:hAnsi="Calibri" w:cs="Calibri"/>
          <w:b/>
          <w:bCs/>
          <w:sz w:val="24"/>
          <w:szCs w:val="24"/>
          <w:lang w:val="el-GR"/>
        </w:rPr>
      </w:pPr>
    </w:p>
    <w:p w14:paraId="4197E629" w14:textId="77777777" w:rsidR="00F225FE" w:rsidRPr="005A486E" w:rsidRDefault="00F225FE" w:rsidP="00DD0EC5">
      <w:pPr>
        <w:tabs>
          <w:tab w:val="left" w:pos="1077"/>
        </w:tabs>
        <w:spacing w:before="160" w:after="0" w:line="264" w:lineRule="auto"/>
        <w:jc w:val="center"/>
        <w:rPr>
          <w:rFonts w:ascii="Calibri" w:hAnsi="Calibri" w:cs="Calibri"/>
          <w:b/>
          <w:bCs/>
          <w:sz w:val="24"/>
          <w:szCs w:val="24"/>
          <w:lang w:val="el-GR"/>
        </w:rPr>
      </w:pPr>
    </w:p>
    <w:sdt>
      <w:sdtPr>
        <w:rPr>
          <w:smallCaps w:val="0"/>
          <w:spacing w:val="0"/>
          <w:sz w:val="22"/>
          <w:szCs w:val="22"/>
        </w:rPr>
        <w:id w:val="1212700572"/>
        <w:docPartObj>
          <w:docPartGallery w:val="Table of Contents"/>
          <w:docPartUnique/>
        </w:docPartObj>
      </w:sdtPr>
      <w:sdtEndPr>
        <w:rPr>
          <w:noProof/>
        </w:rPr>
      </w:sdtEndPr>
      <w:sdtContent>
        <w:p w14:paraId="52531497" w14:textId="7D0D96D4" w:rsidR="00A97DBF" w:rsidRPr="00F225FE" w:rsidRDefault="00F225FE" w:rsidP="006A6415">
          <w:pPr>
            <w:pStyle w:val="TOCHeading"/>
            <w:ind w:left="3544"/>
            <w:rPr>
              <w:rFonts w:ascii="Calibri" w:hAnsi="Calibri" w:cs="Calibri"/>
              <w:lang w:val="el-GR"/>
            </w:rPr>
          </w:pPr>
          <w:r>
            <w:rPr>
              <w:rFonts w:ascii="Calibri" w:hAnsi="Calibri" w:cs="Calibri"/>
              <w:lang w:val="el-GR"/>
            </w:rPr>
            <w:t>Περιεχόμενα</w:t>
          </w:r>
        </w:p>
        <w:p w14:paraId="5C4BBA4A" w14:textId="190A0A25" w:rsidR="00A97DBF" w:rsidRPr="00A97DBF" w:rsidRDefault="00A97DBF" w:rsidP="006A6415">
          <w:pPr>
            <w:pStyle w:val="ListParagraph"/>
            <w:numPr>
              <w:ilvl w:val="0"/>
              <w:numId w:val="38"/>
            </w:numPr>
            <w:ind w:left="3544"/>
            <w:rPr>
              <w:lang w:val="el-GR"/>
            </w:rPr>
          </w:pPr>
          <w:r>
            <w:rPr>
              <w:rFonts w:ascii="Calibri" w:hAnsi="Calibri" w:cs="Calibri"/>
              <w:lang w:val="el-GR"/>
            </w:rPr>
            <w:t>Ιδιοκτησία</w:t>
          </w:r>
        </w:p>
        <w:p w14:paraId="3133FDD7" w14:textId="1893A448" w:rsidR="00A97DBF" w:rsidRPr="00A97DBF" w:rsidRDefault="00A97DBF" w:rsidP="006A6415">
          <w:pPr>
            <w:pStyle w:val="ListParagraph"/>
            <w:numPr>
              <w:ilvl w:val="0"/>
              <w:numId w:val="38"/>
            </w:numPr>
            <w:ind w:left="3544"/>
            <w:rPr>
              <w:lang w:val="el-GR"/>
            </w:rPr>
          </w:pPr>
          <w:r>
            <w:rPr>
              <w:rFonts w:ascii="Calibri" w:hAnsi="Calibri" w:cs="Calibri"/>
              <w:lang w:val="el-GR"/>
            </w:rPr>
            <w:t>Κατανομή Καταλυμάτων</w:t>
          </w:r>
        </w:p>
        <w:p w14:paraId="73122F4D" w14:textId="3C9C10D7" w:rsidR="00A97DBF" w:rsidRPr="00F225FE" w:rsidRDefault="00F225FE" w:rsidP="006A6415">
          <w:pPr>
            <w:pStyle w:val="ListParagraph"/>
            <w:numPr>
              <w:ilvl w:val="0"/>
              <w:numId w:val="38"/>
            </w:numPr>
            <w:ind w:left="3544"/>
            <w:rPr>
              <w:lang w:val="el-GR"/>
            </w:rPr>
          </w:pPr>
          <w:r>
            <w:rPr>
              <w:rFonts w:ascii="Calibri" w:hAnsi="Calibri" w:cs="Calibri"/>
              <w:lang w:val="el-GR"/>
            </w:rPr>
            <w:t>Κατάσταση και ποιότητα</w:t>
          </w:r>
        </w:p>
        <w:p w14:paraId="4A3EEB76" w14:textId="09F5B4FE" w:rsidR="00F225FE" w:rsidRPr="00F225FE" w:rsidRDefault="00F225FE" w:rsidP="006A6415">
          <w:pPr>
            <w:pStyle w:val="ListParagraph"/>
            <w:numPr>
              <w:ilvl w:val="0"/>
              <w:numId w:val="38"/>
            </w:numPr>
            <w:ind w:left="3544"/>
            <w:rPr>
              <w:lang w:val="el-GR"/>
            </w:rPr>
          </w:pPr>
          <w:r>
            <w:rPr>
              <w:rFonts w:ascii="Calibri" w:hAnsi="Calibri" w:cs="Calibri"/>
              <w:lang w:val="el-GR"/>
            </w:rPr>
            <w:t>Τιμές και κόστος</w:t>
          </w:r>
        </w:p>
        <w:p w14:paraId="02A0C5B7" w14:textId="77777777" w:rsidR="00876189" w:rsidRPr="00876189" w:rsidRDefault="00F225FE" w:rsidP="006A6415">
          <w:pPr>
            <w:pStyle w:val="ListParagraph"/>
            <w:numPr>
              <w:ilvl w:val="0"/>
              <w:numId w:val="38"/>
            </w:numPr>
            <w:ind w:left="3544"/>
            <w:rPr>
              <w:lang w:val="el-GR"/>
            </w:rPr>
          </w:pPr>
          <w:r>
            <w:rPr>
              <w:rFonts w:ascii="Calibri" w:hAnsi="Calibri" w:cs="Calibri"/>
              <w:lang w:val="el-GR"/>
            </w:rPr>
            <w:t xml:space="preserve">Φόρτος εξυπηρέτησης </w:t>
          </w:r>
        </w:p>
        <w:p w14:paraId="5849D7F2" w14:textId="71096191" w:rsidR="00A97DBF" w:rsidRPr="00F225FE" w:rsidRDefault="00876189" w:rsidP="006A6415">
          <w:pPr>
            <w:pStyle w:val="ListParagraph"/>
            <w:numPr>
              <w:ilvl w:val="0"/>
              <w:numId w:val="38"/>
            </w:numPr>
            <w:ind w:left="3544"/>
            <w:rPr>
              <w:lang w:val="el-GR"/>
            </w:rPr>
          </w:pPr>
          <w:r>
            <w:rPr>
              <w:rFonts w:ascii="Calibri" w:hAnsi="Calibri" w:cs="Calibri"/>
              <w:lang w:val="el-GR"/>
            </w:rPr>
            <w:t>Συνοπτικά Συμπεράσματα</w:t>
          </w:r>
        </w:p>
      </w:sdtContent>
    </w:sdt>
    <w:p w14:paraId="47F864DD" w14:textId="7B65980B" w:rsidR="00DD0EC5" w:rsidRDefault="00DD0EC5" w:rsidP="00DD0EC5">
      <w:pPr>
        <w:tabs>
          <w:tab w:val="left" w:pos="1077"/>
        </w:tabs>
        <w:spacing w:before="160" w:after="0" w:line="264" w:lineRule="auto"/>
        <w:jc w:val="center"/>
        <w:rPr>
          <w:rFonts w:ascii="Calibri" w:hAnsi="Calibri" w:cs="Calibri"/>
          <w:b/>
          <w:bCs/>
          <w:sz w:val="24"/>
          <w:szCs w:val="24"/>
        </w:rPr>
      </w:pPr>
    </w:p>
    <w:p w14:paraId="0386E672" w14:textId="77777777" w:rsidR="00F225FE" w:rsidRPr="00A97DBF" w:rsidRDefault="00F225FE" w:rsidP="00DD0EC5">
      <w:pPr>
        <w:tabs>
          <w:tab w:val="left" w:pos="1077"/>
        </w:tabs>
        <w:spacing w:before="160" w:after="0" w:line="264" w:lineRule="auto"/>
        <w:jc w:val="center"/>
        <w:rPr>
          <w:rFonts w:ascii="Calibri" w:hAnsi="Calibri" w:cs="Calibri"/>
          <w:b/>
          <w:bCs/>
          <w:sz w:val="24"/>
          <w:szCs w:val="24"/>
        </w:rPr>
      </w:pPr>
    </w:p>
    <w:p w14:paraId="262A0D80" w14:textId="77777777" w:rsidR="006A6415" w:rsidRDefault="006A6415" w:rsidP="00DD0EC5">
      <w:pPr>
        <w:tabs>
          <w:tab w:val="left" w:pos="1077"/>
        </w:tabs>
        <w:spacing w:before="160" w:after="0" w:line="264" w:lineRule="auto"/>
        <w:rPr>
          <w:rFonts w:ascii="Calibri" w:hAnsi="Calibri" w:cs="Calibri"/>
          <w:sz w:val="24"/>
          <w:szCs w:val="24"/>
          <w:lang w:val="el-GR"/>
        </w:rPr>
      </w:pPr>
    </w:p>
    <w:p w14:paraId="679C110D" w14:textId="77777777" w:rsidR="006A6415" w:rsidRDefault="006A6415" w:rsidP="00DD0EC5">
      <w:pPr>
        <w:tabs>
          <w:tab w:val="left" w:pos="1077"/>
        </w:tabs>
        <w:spacing w:before="160" w:after="0" w:line="264" w:lineRule="auto"/>
        <w:rPr>
          <w:rFonts w:ascii="Calibri" w:hAnsi="Calibri" w:cs="Calibri"/>
          <w:sz w:val="24"/>
          <w:szCs w:val="24"/>
          <w:lang w:val="el-GR"/>
        </w:rPr>
      </w:pPr>
    </w:p>
    <w:p w14:paraId="3AFF7839" w14:textId="3654A072" w:rsidR="00DD0EC5" w:rsidRPr="00A728FD" w:rsidRDefault="00DD0EC5" w:rsidP="00DD0EC5">
      <w:pPr>
        <w:tabs>
          <w:tab w:val="left" w:pos="1077"/>
        </w:tabs>
        <w:spacing w:before="160" w:after="0" w:line="264" w:lineRule="auto"/>
        <w:rPr>
          <w:rFonts w:ascii="Calibri" w:hAnsi="Calibri" w:cs="Calibri"/>
          <w:sz w:val="24"/>
          <w:szCs w:val="24"/>
          <w:lang w:val="el-GR"/>
        </w:rPr>
      </w:pPr>
      <w:r w:rsidRPr="00A728FD">
        <w:rPr>
          <w:rFonts w:ascii="Calibri" w:hAnsi="Calibri" w:cs="Calibri"/>
          <w:sz w:val="24"/>
          <w:szCs w:val="24"/>
          <w:lang w:val="el-GR"/>
        </w:rPr>
        <w:t xml:space="preserve">Παρατηρείται τους τελευταίους μήνες μια αυξημένη δυσχέρεια στο κοινό αναφορικά με την ικανοποίηση των αναγκών στέγασης. Εμπειρικές παρατήσεις καταγράφουν επίσης μια γενικευμένη αύξηση στις τιμές ακινήτων, αλλά και στο κόστος, τόσο ενοικίων όσο και κατασκευής. Οι τελευταίες συνάδουν με την γενική εικόνα που επικρατεί στις τιμές των πρώτων υλών και ενδιάμεσων αγαθών στις κατασκευές, διεθνώς. </w:t>
      </w:r>
    </w:p>
    <w:p w14:paraId="636DEF24" w14:textId="561609C2" w:rsidR="00A97DBF" w:rsidRDefault="002C1D16" w:rsidP="00DD0EC5">
      <w:pPr>
        <w:tabs>
          <w:tab w:val="left" w:pos="1077"/>
        </w:tabs>
        <w:spacing w:before="160" w:after="0" w:line="264" w:lineRule="auto"/>
        <w:rPr>
          <w:rFonts w:ascii="Calibri" w:hAnsi="Calibri" w:cs="Calibri"/>
          <w:sz w:val="24"/>
          <w:szCs w:val="24"/>
          <w:lang w:val="el-GR"/>
        </w:rPr>
      </w:pPr>
      <w:r w:rsidRPr="00A728FD">
        <w:rPr>
          <w:rFonts w:ascii="Calibri" w:hAnsi="Calibri" w:cs="Calibri"/>
          <w:sz w:val="24"/>
          <w:szCs w:val="24"/>
          <w:lang w:val="el-GR"/>
        </w:rPr>
        <w:t xml:space="preserve">Η εικόνα που διαμορφώνεται από τα στοιχεία και δεδομένα, ωστόσο, είναι πιο πολύπλοκη και καταδεικνύει, μεν μια σειρά από στρεβλώσεις οι οποίες θα μπορούσαν να αντιμετωπιστούν μερικώς, αλλά επίπεδα δυσχέρειας που είναι προς το παρόν χαμηλότερα από εκείνα που εικάζουμε. </w:t>
      </w:r>
    </w:p>
    <w:p w14:paraId="3152D818" w14:textId="16DC6C2D" w:rsidR="00FE0C08" w:rsidRDefault="00FE0C08" w:rsidP="00DD0EC5">
      <w:pPr>
        <w:tabs>
          <w:tab w:val="left" w:pos="1077"/>
        </w:tabs>
        <w:spacing w:before="160" w:after="0" w:line="264" w:lineRule="auto"/>
        <w:rPr>
          <w:rFonts w:ascii="Calibri" w:hAnsi="Calibri" w:cs="Calibri"/>
          <w:sz w:val="24"/>
          <w:szCs w:val="24"/>
          <w:lang w:val="el-GR"/>
        </w:rPr>
      </w:pPr>
    </w:p>
    <w:p w14:paraId="2CCC5C75" w14:textId="77777777" w:rsidR="006A6415" w:rsidRPr="00A728FD" w:rsidRDefault="006A6415" w:rsidP="00DD0EC5">
      <w:pPr>
        <w:tabs>
          <w:tab w:val="left" w:pos="1077"/>
        </w:tabs>
        <w:spacing w:before="160" w:after="0" w:line="264" w:lineRule="auto"/>
        <w:rPr>
          <w:rFonts w:ascii="Calibri" w:hAnsi="Calibri" w:cs="Calibri"/>
          <w:sz w:val="24"/>
          <w:szCs w:val="24"/>
          <w:lang w:val="el-GR"/>
        </w:rPr>
      </w:pPr>
    </w:p>
    <w:p w14:paraId="566C2D7D" w14:textId="42E33249" w:rsidR="002C1D16" w:rsidRPr="00F225FE" w:rsidRDefault="00A97DBF" w:rsidP="00F225FE">
      <w:pPr>
        <w:pStyle w:val="ListParagraph"/>
        <w:numPr>
          <w:ilvl w:val="0"/>
          <w:numId w:val="39"/>
        </w:numPr>
        <w:tabs>
          <w:tab w:val="left" w:pos="1077"/>
        </w:tabs>
        <w:spacing w:before="160" w:after="0" w:line="264" w:lineRule="auto"/>
        <w:rPr>
          <w:rFonts w:ascii="Calibri" w:hAnsi="Calibri" w:cs="Calibri"/>
          <w:b/>
          <w:bCs/>
          <w:sz w:val="24"/>
          <w:szCs w:val="24"/>
          <w:u w:val="single"/>
          <w:lang w:val="el-GR"/>
        </w:rPr>
      </w:pPr>
      <w:r w:rsidRPr="00F225FE">
        <w:rPr>
          <w:rFonts w:ascii="Calibri" w:hAnsi="Calibri" w:cs="Calibri"/>
          <w:b/>
          <w:bCs/>
          <w:sz w:val="24"/>
          <w:szCs w:val="24"/>
          <w:u w:val="single"/>
          <w:lang w:val="el-GR"/>
        </w:rPr>
        <w:t>Ιδιοκτησία</w:t>
      </w:r>
    </w:p>
    <w:p w14:paraId="770ED403" w14:textId="77777777" w:rsidR="000B540F" w:rsidRDefault="002C1D16" w:rsidP="00DD0EC5">
      <w:pPr>
        <w:tabs>
          <w:tab w:val="left" w:pos="1077"/>
        </w:tabs>
        <w:spacing w:before="160" w:after="0" w:line="264" w:lineRule="auto"/>
        <w:rPr>
          <w:rFonts w:ascii="Calibri" w:hAnsi="Calibri" w:cs="Calibri"/>
          <w:sz w:val="24"/>
          <w:szCs w:val="24"/>
          <w:lang w:val="el-GR"/>
        </w:rPr>
      </w:pPr>
      <w:r w:rsidRPr="00393C99">
        <w:rPr>
          <w:rFonts w:ascii="Calibri" w:hAnsi="Calibri" w:cs="Calibri"/>
          <w:sz w:val="24"/>
          <w:szCs w:val="24"/>
          <w:lang w:val="el-GR"/>
        </w:rPr>
        <w:t xml:space="preserve">Τα επίπεδα ιδιοκτησίας στην Κύπρο είναι κοντά στον μέσο όρο της υπόλοιπης Ευρώπης, με το 68% των κυπρίων να κατοικούν σε ιδιόκτητα καταλύματα και το 31% περίπου να ενοικιάζει. </w:t>
      </w:r>
    </w:p>
    <w:p w14:paraId="0F98BFEF" w14:textId="57662942" w:rsidR="002C1D16" w:rsidRDefault="002C1D16" w:rsidP="00DD0EC5">
      <w:pPr>
        <w:tabs>
          <w:tab w:val="left" w:pos="1077"/>
        </w:tabs>
        <w:spacing w:before="160" w:after="0" w:line="264" w:lineRule="auto"/>
        <w:rPr>
          <w:rFonts w:ascii="Calibri" w:hAnsi="Calibri" w:cs="Calibri"/>
          <w:sz w:val="24"/>
          <w:szCs w:val="24"/>
          <w:lang w:val="el-GR"/>
        </w:rPr>
      </w:pPr>
      <w:r w:rsidRPr="00393C99">
        <w:rPr>
          <w:rFonts w:ascii="Calibri" w:hAnsi="Calibri" w:cs="Calibri"/>
          <w:sz w:val="24"/>
          <w:szCs w:val="24"/>
          <w:lang w:val="el-GR"/>
        </w:rPr>
        <w:t xml:space="preserve">Την ίδια ώρα, </w:t>
      </w:r>
      <w:r w:rsidR="00A728FD" w:rsidRPr="00393C99">
        <w:rPr>
          <w:rFonts w:ascii="Calibri" w:hAnsi="Calibri" w:cs="Calibri"/>
          <w:sz w:val="24"/>
          <w:szCs w:val="24"/>
          <w:lang w:val="el-GR"/>
        </w:rPr>
        <w:t>τα χαρακτηριστικά της κυπριακής αγοράς ακινήτων μεταφράζονται σε υψηλά ποσοστά κατοίκησης σε οικίες</w:t>
      </w:r>
      <w:r w:rsidR="000B540F">
        <w:rPr>
          <w:rFonts w:ascii="Calibri" w:hAnsi="Calibri" w:cs="Calibri"/>
          <w:sz w:val="24"/>
          <w:szCs w:val="24"/>
          <w:lang w:val="el-GR"/>
        </w:rPr>
        <w:t>/σπίτια</w:t>
      </w:r>
      <w:r w:rsidR="00A728FD" w:rsidRPr="00393C99">
        <w:rPr>
          <w:rFonts w:ascii="Calibri" w:hAnsi="Calibri" w:cs="Calibri"/>
          <w:sz w:val="24"/>
          <w:szCs w:val="24"/>
          <w:lang w:val="el-GR"/>
        </w:rPr>
        <w:t xml:space="preserve"> (73%) με μόλις το ¼ των κατοίκων της Κύπρου να ζουν σε διαμερίσματα. Το ποσοστό κατοίκησης σε οικίες είναι υψηλό σε σχέση με άλλες χώρες, με τον ευρωπαϊκό μέσο όρο να κινείται στο 53%. </w:t>
      </w:r>
    </w:p>
    <w:p w14:paraId="5D4E51F7" w14:textId="3AC42985" w:rsidR="00CD592B" w:rsidRPr="00CD592B" w:rsidRDefault="00CD592B" w:rsidP="00DD0EC5">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lastRenderedPageBreak/>
        <w:t xml:space="preserve">Αξίζει να σημειωθεί πως τα ποσοστά οικίας είναι υψηλά ακόμα και στις αστικές περιοχές της Κύπρου, όπου μόλις το 35% των καταλυμάτων είναι διαμερίσματα και το 65% είναι οικίες. Ο Ευρωπαϊκός μέσος όρος οικιών σε αστικές περιοχές περιορίζεται στο 28.3%, ενώ μόνο η Ιρλανδία και η Ολλανδία έχουν υψηλότερα ποσοστά από ό,τι η Κύπρος. Έτσι, η κοινωνία έχει μεγάλη στροφή προς την κατοικία και τα διαμερίσματα εξακολουθούν να μην αποτελούν δημοφιλή επιλογή. ( Στις ημιαστικές περιοχές, οι κατοικίες φτάνουν το 80% και στις αγροτικές το 95.3%). </w:t>
      </w:r>
    </w:p>
    <w:p w14:paraId="493BFADC" w14:textId="0005CC51" w:rsidR="000B540F" w:rsidRPr="00FC0D73" w:rsidRDefault="000B540F" w:rsidP="000B540F">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Οι</w:t>
      </w:r>
      <w:r w:rsidRPr="00FC0D73">
        <w:rPr>
          <w:rFonts w:ascii="Calibri" w:hAnsi="Calibri" w:cs="Calibri"/>
          <w:sz w:val="24"/>
          <w:szCs w:val="24"/>
          <w:lang w:val="el-GR"/>
        </w:rPr>
        <w:t xml:space="preserve"> κάτοικοι της Κύπρου απολαμβάνουν μεγαλύτερες οικίες από ό,τι συμβαίνει σε άλλες συγκρίσιμες χώρες, με κατά μέσο όρο 2 υπνοδωμάτια ανά άτομο, σε σύγκριση με 1.6 στην ΕΕ</w:t>
      </w:r>
      <w:r>
        <w:rPr>
          <w:rFonts w:ascii="Calibri" w:hAnsi="Calibri" w:cs="Calibri"/>
          <w:sz w:val="24"/>
          <w:szCs w:val="24"/>
          <w:lang w:val="el-GR"/>
        </w:rPr>
        <w:t>.</w:t>
      </w:r>
      <w:r w:rsidRPr="00FC0D73">
        <w:rPr>
          <w:rFonts w:ascii="Calibri" w:hAnsi="Calibri" w:cs="Calibri"/>
          <w:sz w:val="24"/>
          <w:szCs w:val="24"/>
          <w:lang w:val="el-GR"/>
        </w:rPr>
        <w:t xml:space="preserve"> </w:t>
      </w:r>
    </w:p>
    <w:p w14:paraId="34F5B172" w14:textId="77777777" w:rsidR="00A97DBF" w:rsidRPr="00393C99" w:rsidRDefault="00A97DBF" w:rsidP="00DD0EC5">
      <w:pPr>
        <w:tabs>
          <w:tab w:val="left" w:pos="1077"/>
        </w:tabs>
        <w:spacing w:before="160" w:after="0" w:line="264" w:lineRule="auto"/>
        <w:rPr>
          <w:rFonts w:ascii="Calibri" w:hAnsi="Calibri" w:cs="Calibri"/>
          <w:sz w:val="24"/>
          <w:szCs w:val="24"/>
          <w:lang w:val="el-GR"/>
        </w:rPr>
      </w:pPr>
    </w:p>
    <w:p w14:paraId="6FA0E0E4" w14:textId="699095DE" w:rsidR="00A728FD" w:rsidRPr="00F225FE" w:rsidRDefault="00FC0D73" w:rsidP="00F225FE">
      <w:pPr>
        <w:pStyle w:val="ListParagraph"/>
        <w:numPr>
          <w:ilvl w:val="0"/>
          <w:numId w:val="39"/>
        </w:numPr>
        <w:tabs>
          <w:tab w:val="left" w:pos="1077"/>
        </w:tabs>
        <w:spacing w:before="160" w:after="0" w:line="264" w:lineRule="auto"/>
        <w:rPr>
          <w:rFonts w:ascii="Calibri" w:hAnsi="Calibri" w:cs="Calibri"/>
          <w:b/>
          <w:bCs/>
          <w:sz w:val="24"/>
          <w:szCs w:val="24"/>
          <w:u w:val="single"/>
          <w:lang w:val="el-GR"/>
        </w:rPr>
      </w:pPr>
      <w:r w:rsidRPr="00F225FE">
        <w:rPr>
          <w:rFonts w:ascii="Calibri" w:hAnsi="Calibri" w:cs="Calibri"/>
          <w:b/>
          <w:bCs/>
          <w:sz w:val="24"/>
          <w:szCs w:val="24"/>
          <w:u w:val="single"/>
          <w:lang w:val="el-GR"/>
        </w:rPr>
        <w:t>Κατανομή καταλυμάτων</w:t>
      </w:r>
    </w:p>
    <w:p w14:paraId="38EAD171" w14:textId="117A37D2" w:rsidR="00A728FD" w:rsidRPr="00393C99" w:rsidRDefault="00A728FD" w:rsidP="00DD0EC5">
      <w:pPr>
        <w:tabs>
          <w:tab w:val="left" w:pos="1077"/>
        </w:tabs>
        <w:spacing w:before="160" w:after="0" w:line="264" w:lineRule="auto"/>
        <w:rPr>
          <w:rFonts w:ascii="Calibri" w:hAnsi="Calibri" w:cs="Calibri"/>
          <w:sz w:val="24"/>
          <w:szCs w:val="24"/>
          <w:lang w:val="el-GR"/>
        </w:rPr>
      </w:pPr>
      <w:r w:rsidRPr="00393C99">
        <w:rPr>
          <w:rFonts w:ascii="Calibri" w:hAnsi="Calibri" w:cs="Calibri"/>
          <w:sz w:val="24"/>
          <w:szCs w:val="24"/>
          <w:lang w:val="el-GR"/>
        </w:rPr>
        <w:t>Ταυτόχρονα, και σε αντίθεση με την γενικότερη εικόνα που επικρατεί,</w:t>
      </w:r>
      <w:r w:rsidR="00165214" w:rsidRPr="00393C99">
        <w:rPr>
          <w:rFonts w:ascii="Calibri" w:hAnsi="Calibri" w:cs="Calibri"/>
          <w:sz w:val="24"/>
          <w:szCs w:val="24"/>
          <w:lang w:val="el-GR"/>
        </w:rPr>
        <w:t xml:space="preserve"> </w:t>
      </w:r>
      <w:r w:rsidR="004A7F00">
        <w:rPr>
          <w:rFonts w:ascii="Calibri" w:hAnsi="Calibri" w:cs="Calibri"/>
          <w:sz w:val="24"/>
          <w:szCs w:val="24"/>
          <w:lang w:val="el-GR"/>
        </w:rPr>
        <w:t>το φαινόμενο της υπερπλήρους κατοίκησης (</w:t>
      </w:r>
      <w:r w:rsidR="004A7F00">
        <w:rPr>
          <w:rFonts w:ascii="Calibri" w:hAnsi="Calibri" w:cs="Calibri"/>
          <w:sz w:val="24"/>
          <w:szCs w:val="24"/>
          <w:lang w:val="en-US"/>
        </w:rPr>
        <w:t>overcrowding</w:t>
      </w:r>
      <w:r w:rsidR="004A7F00" w:rsidRPr="004A7F00">
        <w:rPr>
          <w:rFonts w:ascii="Calibri" w:hAnsi="Calibri" w:cs="Calibri"/>
          <w:sz w:val="24"/>
          <w:szCs w:val="24"/>
          <w:lang w:val="el-GR"/>
        </w:rPr>
        <w:t xml:space="preserve">) </w:t>
      </w:r>
      <w:r w:rsidR="000B540F">
        <w:rPr>
          <w:rFonts w:ascii="Calibri" w:hAnsi="Calibri" w:cs="Calibri"/>
          <w:sz w:val="24"/>
          <w:szCs w:val="24"/>
          <w:lang w:val="el-GR"/>
        </w:rPr>
        <w:t>παραμένει περιορισμένο στην Κύπρο. Η</w:t>
      </w:r>
      <w:r w:rsidR="00165214" w:rsidRPr="00393C99">
        <w:rPr>
          <w:rFonts w:ascii="Calibri" w:hAnsi="Calibri" w:cs="Calibri"/>
          <w:sz w:val="24"/>
          <w:szCs w:val="24"/>
          <w:lang w:val="el-GR"/>
        </w:rPr>
        <w:t xml:space="preserve"> </w:t>
      </w:r>
      <w:r w:rsidR="00165214" w:rsidRPr="00393C99">
        <w:rPr>
          <w:rFonts w:ascii="Calibri" w:hAnsi="Calibri" w:cs="Calibri"/>
          <w:sz w:val="24"/>
          <w:szCs w:val="24"/>
          <w:lang w:val="en-US"/>
        </w:rPr>
        <w:t>Eurostat</w:t>
      </w:r>
      <w:r w:rsidR="00165214" w:rsidRPr="00393C99">
        <w:rPr>
          <w:rFonts w:ascii="Calibri" w:hAnsi="Calibri" w:cs="Calibri"/>
          <w:sz w:val="24"/>
          <w:szCs w:val="24"/>
          <w:lang w:val="el-GR"/>
        </w:rPr>
        <w:t xml:space="preserve"> καταγράφει πως μόλις το 2.5% των καταλυμάτων να </w:t>
      </w:r>
      <w:r w:rsidR="004A7F00">
        <w:rPr>
          <w:rFonts w:ascii="Calibri" w:hAnsi="Calibri" w:cs="Calibri"/>
          <w:sz w:val="24"/>
          <w:szCs w:val="24"/>
          <w:lang w:val="el-GR"/>
        </w:rPr>
        <w:t>θεωρούνται</w:t>
      </w:r>
      <w:r w:rsidR="00165214" w:rsidRPr="00393C99">
        <w:rPr>
          <w:rFonts w:ascii="Calibri" w:hAnsi="Calibri" w:cs="Calibri"/>
          <w:sz w:val="24"/>
          <w:szCs w:val="24"/>
          <w:lang w:val="el-GR"/>
        </w:rPr>
        <w:t xml:space="preserve"> υπερπλήρη. Ωστόσο, πρέπει να σημειωθεί πως, ενώ αυτό το ποσοστό είναι πολύ χαμηλότερο από τους ευρωπαϊκούς μέσους όρους (17.8%), έχει καταγραφεί σημαντική αύξηση τα τελευταία χρόνια, με το αντίστοιχο νούμερο να κινείται στο 1.4% το 2015. </w:t>
      </w:r>
    </w:p>
    <w:p w14:paraId="58BD17E3" w14:textId="77777777" w:rsidR="000B540F" w:rsidRDefault="004A7F00" w:rsidP="00DD0EC5">
      <w:pPr>
        <w:tabs>
          <w:tab w:val="left" w:pos="1077"/>
        </w:tabs>
        <w:spacing w:before="160" w:after="0" w:line="264" w:lineRule="auto"/>
        <w:rPr>
          <w:rFonts w:ascii="Calibri" w:hAnsi="Calibri" w:cs="Calibri"/>
          <w:sz w:val="24"/>
          <w:szCs w:val="24"/>
          <w:lang w:val="el-GR"/>
        </w:rPr>
      </w:pPr>
      <w:r w:rsidRPr="009001F7">
        <w:rPr>
          <w:rFonts w:ascii="Calibri" w:hAnsi="Calibri" w:cs="Calibri"/>
          <w:sz w:val="24"/>
          <w:szCs w:val="24"/>
          <w:lang w:val="el-GR"/>
        </w:rPr>
        <w:t xml:space="preserve">Στον αντίποδα της πυκνής κατοίκησης καταγράφεται επίσης </w:t>
      </w:r>
      <w:r w:rsidR="00393C99" w:rsidRPr="009001F7">
        <w:rPr>
          <w:rFonts w:ascii="Calibri" w:hAnsi="Calibri" w:cs="Calibri"/>
          <w:sz w:val="24"/>
          <w:szCs w:val="24"/>
          <w:lang w:val="el-GR"/>
        </w:rPr>
        <w:t>και το φαινόμενο της υποκατοίκησης</w:t>
      </w:r>
      <w:r w:rsidR="00FC0D73" w:rsidRPr="009001F7">
        <w:rPr>
          <w:rFonts w:ascii="Calibri" w:hAnsi="Calibri" w:cs="Calibri"/>
          <w:sz w:val="24"/>
          <w:szCs w:val="24"/>
          <w:lang w:val="el-GR"/>
        </w:rPr>
        <w:t xml:space="preserve"> (</w:t>
      </w:r>
      <w:proofErr w:type="spellStart"/>
      <w:r w:rsidR="00FC0D73" w:rsidRPr="009001F7">
        <w:rPr>
          <w:rFonts w:ascii="Calibri" w:hAnsi="Calibri" w:cs="Calibri"/>
          <w:sz w:val="24"/>
          <w:szCs w:val="24"/>
          <w:lang w:val="en-US"/>
        </w:rPr>
        <w:t>underoccupation</w:t>
      </w:r>
      <w:proofErr w:type="spellEnd"/>
      <w:r w:rsidR="00FC0D73" w:rsidRPr="009001F7">
        <w:rPr>
          <w:rFonts w:ascii="Calibri" w:hAnsi="Calibri" w:cs="Calibri"/>
          <w:sz w:val="24"/>
          <w:szCs w:val="24"/>
          <w:lang w:val="el-GR"/>
        </w:rPr>
        <w:t>)</w:t>
      </w:r>
      <w:r w:rsidR="00393C99" w:rsidRPr="009001F7">
        <w:rPr>
          <w:rFonts w:ascii="Calibri" w:hAnsi="Calibri" w:cs="Calibri"/>
          <w:sz w:val="24"/>
          <w:szCs w:val="24"/>
          <w:lang w:val="el-GR"/>
        </w:rPr>
        <w:t>, όπου οικίες κατοικούνται από σημαντικά μικρότερο αριθμό ατόμων από ό,τι θα μπορούσαν</w:t>
      </w:r>
      <w:r w:rsidR="000B540F">
        <w:rPr>
          <w:rFonts w:ascii="Calibri" w:hAnsi="Calibri" w:cs="Calibri"/>
          <w:sz w:val="24"/>
          <w:szCs w:val="24"/>
          <w:lang w:val="el-GR"/>
        </w:rPr>
        <w:t xml:space="preserve"> να εξυπηρετήσουν ικανοποιητικά.</w:t>
      </w:r>
    </w:p>
    <w:p w14:paraId="076909A5" w14:textId="55BE7335" w:rsidR="00492A9B" w:rsidRDefault="00393C99" w:rsidP="00DD0EC5">
      <w:pPr>
        <w:tabs>
          <w:tab w:val="left" w:pos="1077"/>
        </w:tabs>
        <w:spacing w:before="160" w:after="0" w:line="264" w:lineRule="auto"/>
        <w:rPr>
          <w:rFonts w:ascii="Calibri" w:hAnsi="Calibri" w:cs="Calibri"/>
          <w:sz w:val="24"/>
          <w:szCs w:val="24"/>
          <w:lang w:val="el-GR"/>
        </w:rPr>
      </w:pPr>
      <w:r w:rsidRPr="009001F7">
        <w:rPr>
          <w:rFonts w:ascii="Calibri" w:hAnsi="Calibri" w:cs="Calibri"/>
          <w:sz w:val="24"/>
          <w:szCs w:val="24"/>
          <w:lang w:val="el-GR"/>
        </w:rPr>
        <w:t xml:space="preserve">Γενικότερα αυτό οφείλεται σε οικογένειες που έχουν καταστεί μικρότερες με την πάροδο των χρόνων (πχ με την ενηλικίωση των παιδιών) αλλά </w:t>
      </w:r>
      <w:r w:rsidR="009001F7">
        <w:rPr>
          <w:rFonts w:ascii="Calibri" w:hAnsi="Calibri" w:cs="Calibri"/>
          <w:sz w:val="24"/>
          <w:szCs w:val="24"/>
          <w:lang w:val="el-GR"/>
        </w:rPr>
        <w:t xml:space="preserve">στην περίπτωση της Κύπρου, φαίνεται πως οφείλεται επίσης </w:t>
      </w:r>
      <w:r w:rsidRPr="009001F7">
        <w:rPr>
          <w:rFonts w:ascii="Calibri" w:hAnsi="Calibri" w:cs="Calibri"/>
          <w:sz w:val="24"/>
          <w:szCs w:val="24"/>
          <w:lang w:val="el-GR"/>
        </w:rPr>
        <w:t>και σε ξένους εκπατρισθέντες</w:t>
      </w:r>
      <w:r w:rsidR="000B540F">
        <w:rPr>
          <w:rFonts w:ascii="Calibri" w:hAnsi="Calibri" w:cs="Calibri"/>
          <w:sz w:val="24"/>
          <w:szCs w:val="24"/>
          <w:lang w:val="el-GR"/>
        </w:rPr>
        <w:t xml:space="preserve"> και στην ιδιοκατοίκηση σε κατοικίες που έχουν κληρονομηθεί από παλαιότερες γενιές</w:t>
      </w:r>
      <w:r w:rsidRPr="009001F7">
        <w:rPr>
          <w:rFonts w:ascii="Calibri" w:hAnsi="Calibri" w:cs="Calibri"/>
          <w:sz w:val="24"/>
          <w:szCs w:val="24"/>
          <w:lang w:val="el-GR"/>
        </w:rPr>
        <w:t xml:space="preserve">. Στην Κύπρο </w:t>
      </w:r>
      <w:r w:rsidR="00FC0D73" w:rsidRPr="009001F7">
        <w:rPr>
          <w:rFonts w:ascii="Calibri" w:hAnsi="Calibri" w:cs="Calibri"/>
          <w:sz w:val="24"/>
          <w:szCs w:val="24"/>
          <w:lang w:val="el-GR"/>
        </w:rPr>
        <w:t xml:space="preserve">η </w:t>
      </w:r>
      <w:r w:rsidR="00FC0D73" w:rsidRPr="009001F7">
        <w:rPr>
          <w:rFonts w:ascii="Calibri" w:hAnsi="Calibri" w:cs="Calibri"/>
          <w:sz w:val="24"/>
          <w:szCs w:val="24"/>
          <w:lang w:val="en-US"/>
        </w:rPr>
        <w:t>Eurostat </w:t>
      </w:r>
      <w:r w:rsidR="00FC0D73" w:rsidRPr="009001F7">
        <w:rPr>
          <w:rFonts w:ascii="Calibri" w:hAnsi="Calibri" w:cs="Calibri"/>
          <w:sz w:val="24"/>
          <w:szCs w:val="24"/>
          <w:lang w:val="el-GR"/>
        </w:rPr>
        <w:t xml:space="preserve"> καταγράφει </w:t>
      </w:r>
      <w:r w:rsidR="002305DB">
        <w:rPr>
          <w:rFonts w:ascii="Calibri" w:hAnsi="Calibri" w:cs="Calibri"/>
          <w:sz w:val="24"/>
          <w:szCs w:val="24"/>
          <w:lang w:val="el-GR"/>
        </w:rPr>
        <w:t xml:space="preserve">υποκατοίκηση στο </w:t>
      </w:r>
      <w:r w:rsidR="00FC0D73" w:rsidRPr="009001F7">
        <w:rPr>
          <w:rFonts w:ascii="Calibri" w:hAnsi="Calibri" w:cs="Calibri"/>
          <w:sz w:val="24"/>
          <w:szCs w:val="24"/>
          <w:lang w:val="el-GR"/>
        </w:rPr>
        <w:t xml:space="preserve">71.4% </w:t>
      </w:r>
      <w:r w:rsidR="002305DB">
        <w:rPr>
          <w:rFonts w:ascii="Calibri" w:hAnsi="Calibri" w:cs="Calibri"/>
          <w:sz w:val="24"/>
          <w:szCs w:val="24"/>
          <w:lang w:val="el-GR"/>
        </w:rPr>
        <w:t>των καταλυμάτων</w:t>
      </w:r>
      <w:r w:rsidR="00FC0D73" w:rsidRPr="009001F7">
        <w:rPr>
          <w:rFonts w:ascii="Calibri" w:hAnsi="Calibri" w:cs="Calibri"/>
          <w:sz w:val="24"/>
          <w:szCs w:val="24"/>
          <w:lang w:val="el-GR"/>
        </w:rPr>
        <w:t xml:space="preserve">, σε σύγκριση με </w:t>
      </w:r>
      <w:r w:rsidR="009001F7">
        <w:rPr>
          <w:rFonts w:ascii="Calibri" w:hAnsi="Calibri" w:cs="Calibri"/>
          <w:sz w:val="24"/>
          <w:szCs w:val="24"/>
          <w:lang w:val="el-GR"/>
        </w:rPr>
        <w:t>32.5% που είναι ο μέσος όρος στην υπόλοιπη Ευρώπη. Υψηλά ποσοστά καταγράφει επίσης η Μάλτα (72%) και με τρίτη την Ιρλανδία στο 63%, ενώ τα χαμηλότερα ποσοστά καταγράφονται στην Ρουμανία (7.1%) και στην Ελλάδα (</w:t>
      </w:r>
      <w:r w:rsidR="0011571F">
        <w:rPr>
          <w:rFonts w:ascii="Calibri" w:hAnsi="Calibri" w:cs="Calibri"/>
          <w:sz w:val="24"/>
          <w:szCs w:val="24"/>
          <w:lang w:val="el-GR"/>
        </w:rPr>
        <w:t xml:space="preserve">11%). </w:t>
      </w:r>
    </w:p>
    <w:p w14:paraId="6CEC2319" w14:textId="0FE557B1" w:rsidR="00492A9B" w:rsidRDefault="00492A9B" w:rsidP="00DD0EC5">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Η </w:t>
      </w:r>
      <w:proofErr w:type="spellStart"/>
      <w:r>
        <w:rPr>
          <w:rFonts w:ascii="Calibri" w:hAnsi="Calibri" w:cs="Calibri"/>
          <w:sz w:val="24"/>
          <w:szCs w:val="24"/>
          <w:lang w:val="el-GR"/>
        </w:rPr>
        <w:t>υποκατοίκηση</w:t>
      </w:r>
      <w:proofErr w:type="spellEnd"/>
      <w:r>
        <w:rPr>
          <w:rFonts w:ascii="Calibri" w:hAnsi="Calibri" w:cs="Calibri"/>
          <w:sz w:val="24"/>
          <w:szCs w:val="24"/>
          <w:lang w:val="el-GR"/>
        </w:rPr>
        <w:t xml:space="preserve"> καταλυμάτων στην Κύπρο, πάντως, παραμένει υψηλή σε τριμελή νοικοκυριά (73.6% έναντι μέσου όρου ΕΕ στο 32%) και σε </w:t>
      </w:r>
      <w:r w:rsidR="0079757D">
        <w:rPr>
          <w:rFonts w:ascii="Calibri" w:hAnsi="Calibri" w:cs="Calibri"/>
          <w:sz w:val="24"/>
          <w:szCs w:val="24"/>
          <w:lang w:val="el-GR"/>
        </w:rPr>
        <w:t xml:space="preserve">πενταμελείς ή μεγαλύτερες οικογένειες (53.9% έναντι 25.4% στην υπόλοιπη ΕΕ). </w:t>
      </w:r>
    </w:p>
    <w:p w14:paraId="2F8D651B" w14:textId="6C61EA47" w:rsidR="00492A9B" w:rsidRPr="009001F7" w:rsidRDefault="0011571F" w:rsidP="00DD0EC5">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Η κατανομή αυτή οδηγεί σε κάποιες υποψίες που σχετίζονται με την γενικότερη κατανομή πλούτου στην χώρα, με τα ποσοστά αστικοποίησης και με το άνοιγμα της αγοράς ακινήτων σε ξένους εκπατρισθέντες. Ωστόσο, δεν είμαστε σε θέση να μιλήσουμε για στατιστικά συμπεράσματα πέρα από τις υποψίες που προκαλεί η κατανομή αυτή.  </w:t>
      </w:r>
    </w:p>
    <w:p w14:paraId="03DC19DF" w14:textId="0365A2DA" w:rsidR="00165214" w:rsidRDefault="00165214" w:rsidP="00DD0EC5">
      <w:pPr>
        <w:tabs>
          <w:tab w:val="left" w:pos="1077"/>
        </w:tabs>
        <w:spacing w:before="160" w:after="0" w:line="264" w:lineRule="auto"/>
        <w:rPr>
          <w:rFonts w:ascii="Calibri" w:hAnsi="Calibri" w:cs="Calibri"/>
          <w:sz w:val="24"/>
          <w:szCs w:val="24"/>
          <w:lang w:val="el-GR"/>
        </w:rPr>
      </w:pPr>
      <w:r w:rsidRPr="0011571F">
        <w:rPr>
          <w:rFonts w:ascii="Calibri" w:hAnsi="Calibri" w:cs="Calibri"/>
          <w:sz w:val="24"/>
          <w:szCs w:val="24"/>
          <w:lang w:val="el-GR"/>
        </w:rPr>
        <w:t>Η κατανομή της κατοίκησης φαίνεται πως επηρεάζεται σημαντικά από τους ξένους κατοίκους στην Κύπρο, ιδίως στις δύο ακραίες καταστάσεις των κατοικιών που είναι υποκατοικημένες</w:t>
      </w:r>
      <w:r w:rsidR="0011571F" w:rsidRPr="0011571F">
        <w:rPr>
          <w:rFonts w:ascii="Calibri" w:hAnsi="Calibri" w:cs="Calibri"/>
          <w:sz w:val="24"/>
          <w:szCs w:val="24"/>
          <w:lang w:val="el-GR"/>
        </w:rPr>
        <w:t xml:space="preserve"> (</w:t>
      </w:r>
      <w:r w:rsidR="0011571F" w:rsidRPr="0011571F">
        <w:rPr>
          <w:rFonts w:ascii="Calibri" w:hAnsi="Calibri" w:cs="Calibri"/>
          <w:sz w:val="24"/>
          <w:szCs w:val="24"/>
          <w:lang w:val="en-US"/>
        </w:rPr>
        <w:t>underoccupied</w:t>
      </w:r>
      <w:r w:rsidR="0011571F" w:rsidRPr="0011571F">
        <w:rPr>
          <w:rFonts w:ascii="Calibri" w:hAnsi="Calibri" w:cs="Calibri"/>
          <w:sz w:val="24"/>
          <w:szCs w:val="24"/>
          <w:lang w:val="el-GR"/>
        </w:rPr>
        <w:t>)</w:t>
      </w:r>
      <w:r w:rsidRPr="0011571F">
        <w:rPr>
          <w:rFonts w:ascii="Calibri" w:hAnsi="Calibri" w:cs="Calibri"/>
          <w:sz w:val="24"/>
          <w:szCs w:val="24"/>
          <w:lang w:val="el-GR"/>
        </w:rPr>
        <w:t xml:space="preserve"> και εκείνες που είναι υπερπλήρεις</w:t>
      </w:r>
      <w:r w:rsidR="0011571F" w:rsidRPr="0011571F">
        <w:rPr>
          <w:rFonts w:ascii="Calibri" w:hAnsi="Calibri" w:cs="Calibri"/>
          <w:sz w:val="24"/>
          <w:szCs w:val="24"/>
          <w:lang w:val="el-GR"/>
        </w:rPr>
        <w:t xml:space="preserve"> (</w:t>
      </w:r>
      <w:r w:rsidR="0011571F" w:rsidRPr="0011571F">
        <w:rPr>
          <w:rFonts w:ascii="Calibri" w:hAnsi="Calibri" w:cs="Calibri"/>
          <w:sz w:val="24"/>
          <w:szCs w:val="24"/>
          <w:lang w:val="en-US"/>
        </w:rPr>
        <w:t>overcrowded</w:t>
      </w:r>
      <w:r w:rsidR="0011571F" w:rsidRPr="0011571F">
        <w:rPr>
          <w:rFonts w:ascii="Calibri" w:hAnsi="Calibri" w:cs="Calibri"/>
          <w:sz w:val="24"/>
          <w:szCs w:val="24"/>
          <w:lang w:val="el-GR"/>
        </w:rPr>
        <w:t>)</w:t>
      </w:r>
      <w:r w:rsidRPr="0011571F">
        <w:rPr>
          <w:rFonts w:ascii="Calibri" w:hAnsi="Calibri" w:cs="Calibri"/>
          <w:sz w:val="24"/>
          <w:szCs w:val="24"/>
          <w:lang w:val="el-GR"/>
        </w:rPr>
        <w:t xml:space="preserve">. Οι πρώτες επηρεάζονται </w:t>
      </w:r>
      <w:r w:rsidRPr="0011571F">
        <w:rPr>
          <w:rFonts w:ascii="Calibri" w:hAnsi="Calibri" w:cs="Calibri"/>
          <w:sz w:val="24"/>
          <w:szCs w:val="24"/>
          <w:lang w:val="el-GR"/>
        </w:rPr>
        <w:lastRenderedPageBreak/>
        <w:t>από τους ξένους, εύπορο</w:t>
      </w:r>
      <w:r w:rsidR="0011571F" w:rsidRPr="0011571F">
        <w:rPr>
          <w:rFonts w:ascii="Calibri" w:hAnsi="Calibri" w:cs="Calibri"/>
          <w:sz w:val="24"/>
          <w:szCs w:val="24"/>
          <w:lang w:val="el-GR"/>
        </w:rPr>
        <w:t>υ</w:t>
      </w:r>
      <w:r w:rsidRPr="0011571F">
        <w:rPr>
          <w:rFonts w:ascii="Calibri" w:hAnsi="Calibri" w:cs="Calibri"/>
          <w:sz w:val="24"/>
          <w:szCs w:val="24"/>
          <w:lang w:val="el-GR"/>
        </w:rPr>
        <w:t xml:space="preserve">ς και συνταξιούχους εκπατρισμένους στην Κύπρο, και οι δεύτερες από το μεταναστευτικό κύμα που αυξάνεται στην χώρα μας. </w:t>
      </w:r>
    </w:p>
    <w:p w14:paraId="6D253ED0" w14:textId="77777777" w:rsidR="0079757D" w:rsidRPr="0011571F" w:rsidRDefault="0079757D" w:rsidP="00DD0EC5">
      <w:pPr>
        <w:tabs>
          <w:tab w:val="left" w:pos="1077"/>
        </w:tabs>
        <w:spacing w:before="160" w:after="0" w:line="264" w:lineRule="auto"/>
        <w:rPr>
          <w:rFonts w:ascii="Calibri" w:hAnsi="Calibri" w:cs="Calibri"/>
          <w:sz w:val="24"/>
          <w:szCs w:val="24"/>
          <w:lang w:val="el-GR"/>
        </w:rPr>
      </w:pPr>
    </w:p>
    <w:p w14:paraId="09C3C09D" w14:textId="3190F9B8" w:rsidR="0011571F" w:rsidRPr="0011571F" w:rsidRDefault="002305DB" w:rsidP="0011571F">
      <w:pPr>
        <w:pStyle w:val="ListParagraph"/>
        <w:numPr>
          <w:ilvl w:val="0"/>
          <w:numId w:val="36"/>
        </w:numPr>
        <w:tabs>
          <w:tab w:val="left" w:pos="1077"/>
        </w:tabs>
        <w:spacing w:before="160" w:after="0" w:line="264" w:lineRule="auto"/>
        <w:rPr>
          <w:rFonts w:ascii="Calibri" w:hAnsi="Calibri" w:cs="Calibri"/>
          <w:b/>
          <w:bCs/>
          <w:sz w:val="24"/>
          <w:szCs w:val="24"/>
          <w:lang w:val="el-GR"/>
        </w:rPr>
      </w:pPr>
      <w:r>
        <w:rPr>
          <w:rFonts w:ascii="Calibri" w:hAnsi="Calibri" w:cs="Calibri"/>
          <w:b/>
          <w:bCs/>
          <w:sz w:val="24"/>
          <w:szCs w:val="24"/>
          <w:lang w:val="el-GR"/>
        </w:rPr>
        <w:t>Τ</w:t>
      </w:r>
      <w:r w:rsidR="00165214" w:rsidRPr="0011571F">
        <w:rPr>
          <w:rFonts w:ascii="Calibri" w:hAnsi="Calibri" w:cs="Calibri"/>
          <w:b/>
          <w:bCs/>
          <w:sz w:val="24"/>
          <w:szCs w:val="24"/>
          <w:lang w:val="el-GR"/>
        </w:rPr>
        <w:t xml:space="preserve">α στοιχεία καταγράφουν μια ανώμαλη κατανομή, η οποία </w:t>
      </w:r>
      <w:r w:rsidR="0011571F">
        <w:rPr>
          <w:rFonts w:ascii="Calibri" w:hAnsi="Calibri" w:cs="Calibri"/>
          <w:b/>
          <w:bCs/>
          <w:sz w:val="24"/>
          <w:szCs w:val="24"/>
          <w:lang w:val="el-GR"/>
        </w:rPr>
        <w:t xml:space="preserve">ενδέχεται να </w:t>
      </w:r>
      <w:r w:rsidR="00165214" w:rsidRPr="0011571F">
        <w:rPr>
          <w:rFonts w:ascii="Calibri" w:hAnsi="Calibri" w:cs="Calibri"/>
          <w:b/>
          <w:bCs/>
          <w:sz w:val="24"/>
          <w:szCs w:val="24"/>
          <w:lang w:val="el-GR"/>
        </w:rPr>
        <w:t xml:space="preserve">αντικατοπτρίζει και την επιδείνωση της εισοδηματικής ανισότητας στην Κύπρο. </w:t>
      </w:r>
    </w:p>
    <w:p w14:paraId="600DF5D7" w14:textId="77777777" w:rsidR="0011571F" w:rsidRDefault="00165214" w:rsidP="0011571F">
      <w:pPr>
        <w:pStyle w:val="ListParagraph"/>
        <w:numPr>
          <w:ilvl w:val="0"/>
          <w:numId w:val="36"/>
        </w:numPr>
        <w:tabs>
          <w:tab w:val="left" w:pos="1077"/>
        </w:tabs>
        <w:spacing w:before="160" w:after="0" w:line="264" w:lineRule="auto"/>
        <w:rPr>
          <w:rFonts w:ascii="Calibri" w:hAnsi="Calibri" w:cs="Calibri"/>
          <w:b/>
          <w:bCs/>
          <w:sz w:val="24"/>
          <w:szCs w:val="24"/>
          <w:lang w:val="el-GR"/>
        </w:rPr>
      </w:pPr>
      <w:r w:rsidRPr="0011571F">
        <w:rPr>
          <w:rFonts w:ascii="Calibri" w:hAnsi="Calibri" w:cs="Calibri"/>
          <w:b/>
          <w:bCs/>
          <w:sz w:val="24"/>
          <w:szCs w:val="24"/>
          <w:lang w:val="el-GR"/>
        </w:rPr>
        <w:t xml:space="preserve">Παρόλο ότι βρίσκεται σε χαμηλά επίπεδα σε σύγκριση με άλλες χώρες, η σταδιακή αύξηση της κατοίκησης σε υπερπλήρη καταλύματα, πρέπει να τύχει περεταίρω παρακολούθησης. Πολιτικές αντιμετώπισης της υποκατοίκησης δεν ενδείκνυνται, αλλά το φαινόμενο καταδεικνύει </w:t>
      </w:r>
      <w:r w:rsidR="00393C99" w:rsidRPr="0011571F">
        <w:rPr>
          <w:rFonts w:ascii="Calibri" w:hAnsi="Calibri" w:cs="Calibri"/>
          <w:b/>
          <w:bCs/>
          <w:sz w:val="24"/>
          <w:szCs w:val="24"/>
          <w:lang w:val="el-GR"/>
        </w:rPr>
        <w:t>αυξημένα</w:t>
      </w:r>
      <w:r w:rsidRPr="0011571F">
        <w:rPr>
          <w:rFonts w:ascii="Calibri" w:hAnsi="Calibri" w:cs="Calibri"/>
          <w:b/>
          <w:bCs/>
          <w:sz w:val="24"/>
          <w:szCs w:val="24"/>
          <w:lang w:val="el-GR"/>
        </w:rPr>
        <w:t xml:space="preserve"> ενδεχομένως </w:t>
      </w:r>
      <w:r w:rsidR="00393C99" w:rsidRPr="0011571F">
        <w:rPr>
          <w:rFonts w:ascii="Calibri" w:hAnsi="Calibri" w:cs="Calibri"/>
          <w:b/>
          <w:bCs/>
          <w:sz w:val="24"/>
          <w:szCs w:val="24"/>
          <w:lang w:val="el-GR"/>
        </w:rPr>
        <w:t xml:space="preserve">επίπεδα ανισότητας στην κατανομή του πλούτου. </w:t>
      </w:r>
    </w:p>
    <w:p w14:paraId="6BB2F53E" w14:textId="65B8F51B" w:rsidR="00165214" w:rsidRDefault="00393C99" w:rsidP="0011571F">
      <w:pPr>
        <w:pStyle w:val="ListParagraph"/>
        <w:numPr>
          <w:ilvl w:val="0"/>
          <w:numId w:val="36"/>
        </w:numPr>
        <w:tabs>
          <w:tab w:val="left" w:pos="1077"/>
        </w:tabs>
        <w:spacing w:before="160" w:after="0" w:line="264" w:lineRule="auto"/>
        <w:rPr>
          <w:rFonts w:ascii="Calibri" w:hAnsi="Calibri" w:cs="Calibri"/>
          <w:b/>
          <w:bCs/>
          <w:sz w:val="24"/>
          <w:szCs w:val="24"/>
          <w:lang w:val="el-GR"/>
        </w:rPr>
      </w:pPr>
      <w:r w:rsidRPr="0011571F">
        <w:rPr>
          <w:rFonts w:ascii="Calibri" w:hAnsi="Calibri" w:cs="Calibri"/>
          <w:b/>
          <w:bCs/>
          <w:sz w:val="24"/>
          <w:szCs w:val="24"/>
          <w:lang w:val="el-GR"/>
        </w:rPr>
        <w:t xml:space="preserve">Σημειώνεται επίσης πως, ενώ τα συνολικά χρέη των νοικοκυριών είναι υψηλά στην Κύπρο, σε πείσμα της μεγάλης μείωσης που καταγράφεται από το 2015, την ίδια ώρα καταγράφονται και υψηλά συνολικά ενεργητικά. Δεν είναι </w:t>
      </w:r>
      <w:r w:rsidR="002305DB">
        <w:rPr>
          <w:rFonts w:ascii="Calibri" w:hAnsi="Calibri" w:cs="Calibri"/>
          <w:b/>
          <w:bCs/>
          <w:sz w:val="24"/>
          <w:szCs w:val="24"/>
          <w:lang w:val="el-GR"/>
        </w:rPr>
        <w:t xml:space="preserve">στατιστικά </w:t>
      </w:r>
      <w:r w:rsidRPr="0011571F">
        <w:rPr>
          <w:rFonts w:ascii="Calibri" w:hAnsi="Calibri" w:cs="Calibri"/>
          <w:b/>
          <w:bCs/>
          <w:sz w:val="24"/>
          <w:szCs w:val="24"/>
          <w:lang w:val="el-GR"/>
        </w:rPr>
        <w:t xml:space="preserve">σαφές, αλλά θα πρέπει να αναλυθεί η αντιστοιχία πλούτου και χρεών για να διαφανεί </w:t>
      </w:r>
      <w:r w:rsidR="0011571F">
        <w:rPr>
          <w:rFonts w:ascii="Calibri" w:hAnsi="Calibri" w:cs="Calibri"/>
          <w:b/>
          <w:bCs/>
          <w:sz w:val="24"/>
          <w:szCs w:val="24"/>
          <w:lang w:val="el-GR"/>
        </w:rPr>
        <w:t xml:space="preserve">η πραγματική οικονομική δυσχέρεια </w:t>
      </w:r>
      <w:r w:rsidRPr="0011571F">
        <w:rPr>
          <w:rFonts w:ascii="Calibri" w:hAnsi="Calibri" w:cs="Calibri"/>
          <w:b/>
          <w:bCs/>
          <w:sz w:val="24"/>
          <w:szCs w:val="24"/>
          <w:lang w:val="el-GR"/>
        </w:rPr>
        <w:t xml:space="preserve">των νοικοκυριών στην Κύπρο. Αυτή τη στιγμή, </w:t>
      </w:r>
      <w:r w:rsidR="002305DB">
        <w:rPr>
          <w:rFonts w:ascii="Calibri" w:hAnsi="Calibri" w:cs="Calibri"/>
          <w:b/>
          <w:bCs/>
          <w:sz w:val="24"/>
          <w:szCs w:val="24"/>
          <w:lang w:val="el-GR"/>
        </w:rPr>
        <w:t>η συγκεκριμένη</w:t>
      </w:r>
      <w:r w:rsidRPr="0011571F">
        <w:rPr>
          <w:rFonts w:ascii="Calibri" w:hAnsi="Calibri" w:cs="Calibri"/>
          <w:b/>
          <w:bCs/>
          <w:sz w:val="24"/>
          <w:szCs w:val="24"/>
          <w:lang w:val="el-GR"/>
        </w:rPr>
        <w:t xml:space="preserve"> ανάλυση είναι δύσκολη λόγω του είδους των στοιχείων που είναι διαθέσιμα. </w:t>
      </w:r>
    </w:p>
    <w:p w14:paraId="203DF7D8" w14:textId="77777777" w:rsidR="0066742D" w:rsidRDefault="0066742D" w:rsidP="001C7377">
      <w:pPr>
        <w:tabs>
          <w:tab w:val="left" w:pos="1077"/>
        </w:tabs>
        <w:spacing w:before="160" w:after="0" w:line="264" w:lineRule="auto"/>
        <w:rPr>
          <w:rFonts w:ascii="Calibri" w:hAnsi="Calibri" w:cs="Calibri"/>
          <w:b/>
          <w:bCs/>
          <w:sz w:val="24"/>
          <w:szCs w:val="24"/>
          <w:u w:val="single"/>
          <w:lang w:val="el-GR"/>
        </w:rPr>
      </w:pPr>
    </w:p>
    <w:p w14:paraId="09289743" w14:textId="77777777" w:rsidR="0066742D" w:rsidRDefault="0066742D" w:rsidP="001C7377">
      <w:pPr>
        <w:tabs>
          <w:tab w:val="left" w:pos="1077"/>
        </w:tabs>
        <w:spacing w:before="160" w:after="0" w:line="264" w:lineRule="auto"/>
        <w:rPr>
          <w:rFonts w:ascii="Calibri" w:hAnsi="Calibri" w:cs="Calibri"/>
          <w:b/>
          <w:bCs/>
          <w:sz w:val="24"/>
          <w:szCs w:val="24"/>
          <w:u w:val="single"/>
          <w:lang w:val="el-GR"/>
        </w:rPr>
      </w:pPr>
    </w:p>
    <w:p w14:paraId="5ED102ED" w14:textId="25DDAD70" w:rsidR="001C7377" w:rsidRPr="00F225FE" w:rsidRDefault="001C7377" w:rsidP="00F225FE">
      <w:pPr>
        <w:pStyle w:val="ListParagraph"/>
        <w:numPr>
          <w:ilvl w:val="0"/>
          <w:numId w:val="39"/>
        </w:numPr>
        <w:tabs>
          <w:tab w:val="left" w:pos="1077"/>
        </w:tabs>
        <w:spacing w:before="160" w:after="0" w:line="264" w:lineRule="auto"/>
        <w:rPr>
          <w:rFonts w:ascii="Calibri" w:hAnsi="Calibri" w:cs="Calibri"/>
          <w:b/>
          <w:bCs/>
          <w:sz w:val="24"/>
          <w:szCs w:val="24"/>
          <w:u w:val="single"/>
          <w:lang w:val="el-GR"/>
        </w:rPr>
      </w:pPr>
      <w:r w:rsidRPr="00F225FE">
        <w:rPr>
          <w:rFonts w:ascii="Calibri" w:hAnsi="Calibri" w:cs="Calibri"/>
          <w:b/>
          <w:bCs/>
          <w:sz w:val="24"/>
          <w:szCs w:val="24"/>
          <w:u w:val="single"/>
          <w:lang w:val="el-GR"/>
        </w:rPr>
        <w:t>Κατάσταση και ποιότητα</w:t>
      </w:r>
    </w:p>
    <w:p w14:paraId="2B5CDD94" w14:textId="77777777" w:rsidR="002305DB" w:rsidRDefault="001C7377" w:rsidP="001C7377">
      <w:pPr>
        <w:tabs>
          <w:tab w:val="left" w:pos="1077"/>
        </w:tabs>
        <w:spacing w:before="160" w:after="0" w:line="264" w:lineRule="auto"/>
        <w:rPr>
          <w:rFonts w:ascii="Calibri" w:hAnsi="Calibri" w:cs="Calibri"/>
          <w:sz w:val="24"/>
          <w:szCs w:val="24"/>
          <w:lang w:val="el-GR"/>
        </w:rPr>
      </w:pPr>
      <w:r w:rsidRPr="00D8260E">
        <w:rPr>
          <w:rFonts w:ascii="Calibri" w:hAnsi="Calibri" w:cs="Calibri"/>
          <w:sz w:val="24"/>
          <w:szCs w:val="24"/>
          <w:lang w:val="el-GR"/>
        </w:rPr>
        <w:t xml:space="preserve">Τα διαθέσιμα στοιχεία καταγράφουν κάπως φτωχές συνθήκες όσον αφορά στην ποιότητα των κατοικιών στην Κύπρο. Χρειάζεται ωστόσο προσοχή στην ανάγνωση των στοιχείων, αφού η συλλογή δεδομένων είναι δομημένη για αναγνώριση προβλημάτων που είναι πιο σημαντικά σε άλλες χώρες της Ευρώπης. Στην Κύπρο ένα πολύ υψηλό ποσοστό κατοικιών, 39.1% καταγράφεται πως έχει διαρροή στην οροφή της, σε σχέση με μόλις 13.9% στην ΕΕ. Είναι ωστόσο σαφές πως καταγράφονται δύο πολύ διαφορετικά προβλήματα στην Κύπρο και σε άλλες χώρες όπου η διαρροή στην οροφή μπορεί να αποτελεί μακροχρόνιο και επίμονο πρόβλημα, με πολύμηνες επιπτώσεις στην διαβίωση. </w:t>
      </w:r>
    </w:p>
    <w:p w14:paraId="48F0AC36" w14:textId="249BC2C8" w:rsidR="001C7377" w:rsidRPr="005A486E" w:rsidRDefault="001C7377" w:rsidP="001C7377">
      <w:pPr>
        <w:tabs>
          <w:tab w:val="left" w:pos="1077"/>
        </w:tabs>
        <w:spacing w:before="160" w:after="0" w:line="264" w:lineRule="auto"/>
        <w:rPr>
          <w:rFonts w:ascii="Calibri" w:hAnsi="Calibri" w:cs="Calibri"/>
          <w:sz w:val="24"/>
          <w:szCs w:val="24"/>
          <w:lang w:val="el-GR"/>
        </w:rPr>
      </w:pPr>
      <w:r w:rsidRPr="00D8260E">
        <w:rPr>
          <w:rFonts w:ascii="Calibri" w:hAnsi="Calibri" w:cs="Calibri"/>
          <w:sz w:val="24"/>
          <w:szCs w:val="24"/>
          <w:lang w:val="el-GR"/>
        </w:rPr>
        <w:t xml:space="preserve">Παρομοίως, τα στοιχεία που αφορούν </w:t>
      </w:r>
      <w:r w:rsidR="002305DB">
        <w:rPr>
          <w:rFonts w:ascii="Calibri" w:hAnsi="Calibri" w:cs="Calibri"/>
          <w:sz w:val="24"/>
          <w:szCs w:val="24"/>
          <w:lang w:val="el-GR"/>
        </w:rPr>
        <w:t>σ</w:t>
      </w:r>
      <w:r w:rsidRPr="00D8260E">
        <w:rPr>
          <w:rFonts w:ascii="Calibri" w:hAnsi="Calibri" w:cs="Calibri"/>
          <w:sz w:val="24"/>
          <w:szCs w:val="24"/>
          <w:lang w:val="el-GR"/>
        </w:rPr>
        <w:t xml:space="preserve">την θέρμανση, καταγράφονται υψηλά στην Κύπρο, με το 20.9% να μην έχει ικανοποιητική θέρμανση, σε σχέση με μόλις το 8.2% στην ΕΕ. </w:t>
      </w:r>
      <w:r w:rsidR="005B5DA1" w:rsidRPr="00D8260E">
        <w:rPr>
          <w:rFonts w:ascii="Calibri" w:hAnsi="Calibri" w:cs="Calibri"/>
          <w:sz w:val="24"/>
          <w:szCs w:val="24"/>
          <w:lang w:val="el-GR"/>
        </w:rPr>
        <w:t xml:space="preserve">Το ζήτημα αυτό μπορεί να αντικατοπτρίζει ελλείψεις στην υποδομή και σχεδιασμό και όχι ανεπάρκεια οικονομικής δύναμης των νοικοκυριών και συνιστάται προσοχή στην ερμηνεία αυτών των στοιχείων. </w:t>
      </w:r>
      <w:r w:rsidRPr="00D8260E">
        <w:rPr>
          <w:rFonts w:ascii="Calibri" w:hAnsi="Calibri" w:cs="Calibri"/>
          <w:sz w:val="24"/>
          <w:szCs w:val="24"/>
          <w:lang w:val="el-GR"/>
        </w:rPr>
        <w:t xml:space="preserve">Τα στοιχεία που αφορούν στην ικανοποιητική ψύξη είναι πιο περίπλοκα και πιο αναξιόπιστα ως προς τους ορισμούς τους, αλλά αυτό θα ήταν ένα σαφώς πιο σοβαρό ζήτημα για την περίπτωση της Κύπρου. </w:t>
      </w:r>
    </w:p>
    <w:p w14:paraId="66AC0000" w14:textId="4ADBE9CC" w:rsidR="0066742D" w:rsidRDefault="005B5DA1" w:rsidP="001C7377">
      <w:pPr>
        <w:tabs>
          <w:tab w:val="left" w:pos="1077"/>
        </w:tabs>
        <w:spacing w:before="160" w:after="0" w:line="264" w:lineRule="auto"/>
        <w:rPr>
          <w:rFonts w:ascii="Calibri" w:hAnsi="Calibri" w:cs="Calibri"/>
          <w:sz w:val="24"/>
          <w:szCs w:val="24"/>
          <w:lang w:val="el-GR"/>
        </w:rPr>
      </w:pPr>
      <w:r w:rsidRPr="00D8260E">
        <w:rPr>
          <w:rFonts w:ascii="Calibri" w:hAnsi="Calibri" w:cs="Calibri"/>
          <w:sz w:val="24"/>
          <w:szCs w:val="24"/>
          <w:lang w:val="el-GR"/>
        </w:rPr>
        <w:t xml:space="preserve">Αξίζει να σημειωθεί πως οι κατά κεφαλή εκπομπές ρύπων </w:t>
      </w:r>
      <w:r w:rsidR="00D8260E" w:rsidRPr="00D8260E">
        <w:rPr>
          <w:rFonts w:ascii="Calibri" w:hAnsi="Calibri" w:cs="Calibri"/>
          <w:sz w:val="24"/>
          <w:szCs w:val="24"/>
          <w:lang w:val="el-GR"/>
        </w:rPr>
        <w:t>για οικιστική θέρμανση να είναι στην Κύπρο (472.6</w:t>
      </w:r>
      <w:r w:rsidR="00D8260E" w:rsidRPr="00D8260E">
        <w:rPr>
          <w:rFonts w:ascii="Calibri" w:hAnsi="Calibri" w:cs="Calibri"/>
          <w:sz w:val="24"/>
          <w:szCs w:val="24"/>
          <w:lang w:val="en-US"/>
        </w:rPr>
        <w:t>kg</w:t>
      </w:r>
      <w:r w:rsidR="00D8260E" w:rsidRPr="00D8260E">
        <w:rPr>
          <w:rFonts w:ascii="Calibri" w:hAnsi="Calibri" w:cs="Calibri"/>
          <w:sz w:val="24"/>
          <w:szCs w:val="24"/>
          <w:lang w:val="el-GR"/>
        </w:rPr>
        <w:t>)</w:t>
      </w:r>
      <w:r w:rsidR="00D8260E" w:rsidRPr="00D8260E">
        <w:rPr>
          <w:rFonts w:ascii="Calibri" w:hAnsi="Calibri" w:cs="Calibri"/>
          <w:sz w:val="24"/>
          <w:szCs w:val="24"/>
          <w:lang w:val="en-US"/>
        </w:rPr>
        <w:t> </w:t>
      </w:r>
      <w:r w:rsidR="00D8260E" w:rsidRPr="00D8260E">
        <w:rPr>
          <w:rFonts w:ascii="Calibri" w:hAnsi="Calibri" w:cs="Calibri"/>
          <w:sz w:val="24"/>
          <w:szCs w:val="24"/>
          <w:lang w:val="el-GR"/>
        </w:rPr>
        <w:t xml:space="preserve"> σε σχέση με τον ευρωπαϊκό μέσο όρο (696.4</w:t>
      </w:r>
      <w:r w:rsidR="00D8260E" w:rsidRPr="00D8260E">
        <w:rPr>
          <w:rFonts w:ascii="Calibri" w:hAnsi="Calibri" w:cs="Calibri"/>
          <w:sz w:val="24"/>
          <w:szCs w:val="24"/>
          <w:lang w:val="en-US"/>
        </w:rPr>
        <w:t>kg</w:t>
      </w:r>
      <w:r w:rsidR="00D8260E" w:rsidRPr="00D8260E">
        <w:rPr>
          <w:rFonts w:ascii="Calibri" w:hAnsi="Calibri" w:cs="Calibri"/>
          <w:sz w:val="24"/>
          <w:szCs w:val="24"/>
          <w:lang w:val="el-GR"/>
        </w:rPr>
        <w:t xml:space="preserve">). Τα δεδομένα, που καταγράφονται σε </w:t>
      </w:r>
      <w:r w:rsidR="00D8260E" w:rsidRPr="00D8260E">
        <w:rPr>
          <w:rFonts w:ascii="Calibri" w:hAnsi="Calibri" w:cs="Calibri"/>
          <w:i/>
          <w:iCs/>
          <w:sz w:val="24"/>
          <w:szCs w:val="24"/>
          <w:lang w:val="el-GR"/>
        </w:rPr>
        <w:t>ετήσια</w:t>
      </w:r>
      <w:r w:rsidR="00D8260E" w:rsidRPr="00D8260E">
        <w:rPr>
          <w:rFonts w:ascii="Calibri" w:hAnsi="Calibri" w:cs="Calibri"/>
          <w:sz w:val="24"/>
          <w:szCs w:val="24"/>
          <w:lang w:val="el-GR"/>
        </w:rPr>
        <w:t xml:space="preserve"> κατά κεφαλή βάση σύμφωνα με τα επεξηγηματικά σημειώματα της </w:t>
      </w:r>
      <w:r w:rsidR="00D8260E" w:rsidRPr="00D8260E">
        <w:rPr>
          <w:rFonts w:ascii="Calibri" w:hAnsi="Calibri" w:cs="Calibri"/>
          <w:sz w:val="24"/>
          <w:szCs w:val="24"/>
          <w:lang w:val="en-US"/>
        </w:rPr>
        <w:lastRenderedPageBreak/>
        <w:t>Eurostat</w:t>
      </w:r>
      <w:r w:rsidR="00D8260E" w:rsidRPr="00D8260E">
        <w:rPr>
          <w:rFonts w:ascii="Calibri" w:hAnsi="Calibri" w:cs="Calibri"/>
          <w:sz w:val="24"/>
          <w:szCs w:val="24"/>
          <w:lang w:val="el-GR"/>
        </w:rPr>
        <w:t>, συνηγορούν πως οι σχετικές οικιστικές υποδομές θέρμανσης στην Κύπρο είναι πιο ρυπογόνες και επομένως κατά πάσα πιθανότητα πιο ανεπαρκείς</w:t>
      </w:r>
      <w:r w:rsidR="0066742D">
        <w:rPr>
          <w:rFonts w:ascii="Calibri" w:hAnsi="Calibri" w:cs="Calibri"/>
          <w:sz w:val="24"/>
          <w:szCs w:val="24"/>
          <w:lang w:val="el-GR"/>
        </w:rPr>
        <w:t>, αν σταθμίσει κανείς το ποσό αυτό με το επίπεδο αναγκών θέρμανσης στην Κύπρο, σε σύγκριση με άλλες χώρες. Εκ πρώτης όψεως, τα στοιχεία υπονοούν πως στην Κύπρο οι ρύποι είναι υψηλότεροι ανά μονάδα θέρμανσης.</w:t>
      </w:r>
    </w:p>
    <w:p w14:paraId="71A5178A" w14:textId="1D8E6B00" w:rsidR="002305DB" w:rsidRDefault="002305DB"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Πάντως, οι ετήσιοι κατά κεφαλή ρύποι των νοικοκυριών για σκοπούς θέρμανσης, καταγράφουν αύξηση μετά από σημαντική μείωσή τους το 2018. </w:t>
      </w:r>
    </w:p>
    <w:p w14:paraId="6089C387" w14:textId="77777777" w:rsidR="0079757D" w:rsidRDefault="0079757D" w:rsidP="001C7377">
      <w:pPr>
        <w:tabs>
          <w:tab w:val="left" w:pos="1077"/>
        </w:tabs>
        <w:spacing w:before="160" w:after="0" w:line="264" w:lineRule="auto"/>
        <w:rPr>
          <w:rFonts w:ascii="Calibri" w:hAnsi="Calibri" w:cs="Calibri"/>
          <w:b/>
          <w:bCs/>
          <w:sz w:val="24"/>
          <w:szCs w:val="24"/>
          <w:u w:val="single"/>
          <w:lang w:val="el-GR"/>
        </w:rPr>
      </w:pPr>
    </w:p>
    <w:p w14:paraId="509C4104" w14:textId="2F62940F" w:rsidR="00812F38" w:rsidRPr="00F225FE" w:rsidRDefault="00812F38" w:rsidP="00F225FE">
      <w:pPr>
        <w:pStyle w:val="ListParagraph"/>
        <w:numPr>
          <w:ilvl w:val="0"/>
          <w:numId w:val="39"/>
        </w:numPr>
        <w:tabs>
          <w:tab w:val="left" w:pos="1077"/>
        </w:tabs>
        <w:spacing w:before="160" w:after="0" w:line="264" w:lineRule="auto"/>
        <w:rPr>
          <w:rFonts w:ascii="Calibri" w:hAnsi="Calibri" w:cs="Calibri"/>
          <w:b/>
          <w:bCs/>
          <w:sz w:val="24"/>
          <w:szCs w:val="24"/>
          <w:u w:val="single"/>
          <w:lang w:val="el-GR"/>
        </w:rPr>
      </w:pPr>
      <w:r w:rsidRPr="00F225FE">
        <w:rPr>
          <w:rFonts w:ascii="Calibri" w:hAnsi="Calibri" w:cs="Calibri"/>
          <w:b/>
          <w:bCs/>
          <w:sz w:val="24"/>
          <w:szCs w:val="24"/>
          <w:u w:val="single"/>
          <w:lang w:val="el-GR"/>
        </w:rPr>
        <w:t>Τιμές και κόστος</w:t>
      </w:r>
    </w:p>
    <w:p w14:paraId="01B751A2" w14:textId="77777777" w:rsidR="002305DB" w:rsidRDefault="00812F38"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Οι τιμές ακινήτων στην Κύπρο καταγράφουν αφενός μια αυξητική τάση που καταγράφηκε στα τέλη του 2021 και κατά πάσα πιθανότητα συνεχίζεται, αφετέρου όμως παραμένουν χαμηλότερες από προηγούμενα χρόνια. </w:t>
      </w:r>
    </w:p>
    <w:p w14:paraId="18768C3C" w14:textId="77777777" w:rsidR="002305DB" w:rsidRDefault="00812F38"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Αξίζει να σημειωθεί πως, σε σύγκριση με την υπόλοιπη ΕΕ, οι αυξήσεις, αν και ουσιαστικές, δεν καταγράφουν την ίδια οξύτητα ή ταχύτητα. Με </w:t>
      </w:r>
      <w:r w:rsidR="004127DE">
        <w:rPr>
          <w:rFonts w:ascii="Calibri" w:hAnsi="Calibri" w:cs="Calibri"/>
          <w:sz w:val="24"/>
          <w:szCs w:val="24"/>
          <w:lang w:val="el-GR"/>
        </w:rPr>
        <w:t>σημείο</w:t>
      </w:r>
      <w:r>
        <w:rPr>
          <w:rFonts w:ascii="Calibri" w:hAnsi="Calibri" w:cs="Calibri"/>
          <w:sz w:val="24"/>
          <w:szCs w:val="24"/>
          <w:lang w:val="el-GR"/>
        </w:rPr>
        <w:t xml:space="preserve"> αναφοράς τις τιμές του 2005 (2005=100), οι τιμές στην Κύπρο είναι σήμερα </w:t>
      </w:r>
      <w:r w:rsidR="002305DB">
        <w:rPr>
          <w:rFonts w:ascii="Calibri" w:hAnsi="Calibri" w:cs="Calibri"/>
          <w:sz w:val="24"/>
          <w:szCs w:val="24"/>
          <w:lang w:val="el-GR"/>
        </w:rPr>
        <w:t xml:space="preserve">στις </w:t>
      </w:r>
      <w:r>
        <w:rPr>
          <w:rFonts w:ascii="Calibri" w:hAnsi="Calibri" w:cs="Calibri"/>
          <w:sz w:val="24"/>
          <w:szCs w:val="24"/>
          <w:lang w:val="el-GR"/>
        </w:rPr>
        <w:t>108</w:t>
      </w:r>
      <w:r w:rsidR="002305DB">
        <w:rPr>
          <w:rFonts w:ascii="Calibri" w:hAnsi="Calibri" w:cs="Calibri"/>
          <w:sz w:val="24"/>
          <w:szCs w:val="24"/>
          <w:lang w:val="el-GR"/>
        </w:rPr>
        <w:t xml:space="preserve"> μονάδες</w:t>
      </w:r>
      <w:r>
        <w:rPr>
          <w:rFonts w:ascii="Calibri" w:hAnsi="Calibri" w:cs="Calibri"/>
          <w:sz w:val="24"/>
          <w:szCs w:val="24"/>
          <w:lang w:val="el-GR"/>
        </w:rPr>
        <w:t>, ενώ ο ευρωπαϊκός μέσος όρος έφτασε τ</w:t>
      </w:r>
      <w:r w:rsidR="002305DB">
        <w:rPr>
          <w:rFonts w:ascii="Calibri" w:hAnsi="Calibri" w:cs="Calibri"/>
          <w:sz w:val="24"/>
          <w:szCs w:val="24"/>
          <w:lang w:val="el-GR"/>
        </w:rPr>
        <w:t>ις</w:t>
      </w:r>
      <w:r>
        <w:rPr>
          <w:rFonts w:ascii="Calibri" w:hAnsi="Calibri" w:cs="Calibri"/>
          <w:sz w:val="24"/>
          <w:szCs w:val="24"/>
          <w:lang w:val="el-GR"/>
        </w:rPr>
        <w:t xml:space="preserve"> 126.9. Συγκριτικά, τα αντίστοιχα στοιχεία του 2019 </w:t>
      </w:r>
      <w:r w:rsidR="004127DE">
        <w:rPr>
          <w:rFonts w:ascii="Calibri" w:hAnsi="Calibri" w:cs="Calibri"/>
          <w:sz w:val="24"/>
          <w:szCs w:val="24"/>
          <w:lang w:val="el-GR"/>
        </w:rPr>
        <w:t>ήταν 108.2 (Κύπρος) και 120.2 (</w:t>
      </w:r>
      <w:proofErr w:type="spellStart"/>
      <w:r w:rsidR="004127DE">
        <w:rPr>
          <w:rFonts w:ascii="Calibri" w:hAnsi="Calibri" w:cs="Calibri"/>
          <w:sz w:val="24"/>
          <w:szCs w:val="24"/>
          <w:lang w:val="el-GR"/>
        </w:rPr>
        <w:t>μ.ο</w:t>
      </w:r>
      <w:proofErr w:type="spellEnd"/>
      <w:r w:rsidR="004127DE">
        <w:rPr>
          <w:rFonts w:ascii="Calibri" w:hAnsi="Calibri" w:cs="Calibri"/>
          <w:sz w:val="24"/>
          <w:szCs w:val="24"/>
          <w:lang w:val="el-GR"/>
        </w:rPr>
        <w:t xml:space="preserve">. ΕΕ). </w:t>
      </w:r>
    </w:p>
    <w:p w14:paraId="17F17D07" w14:textId="77777777" w:rsidR="009E0D23" w:rsidRDefault="004127DE"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Μέχρι το γ’ τρίμηνο του 2021, το ΔΝΤ κατέγραφε, πάντως, μείωση στις οικιστικές τιμές σε όλες τις επαρχίες, με ταχύτερη μείωση στην Πάφο και την μεγαλύτερη συγκράτηση τιμών στην Λεμεσό.</w:t>
      </w:r>
      <w:r w:rsidR="002A223D">
        <w:rPr>
          <w:rFonts w:ascii="Calibri" w:hAnsi="Calibri" w:cs="Calibri"/>
          <w:sz w:val="24"/>
          <w:szCs w:val="24"/>
          <w:lang w:val="el-GR"/>
        </w:rPr>
        <w:t xml:space="preserve"> Σημαντικό στοιχείο παραμένει πως οι πωλήσεις σε ξένους</w:t>
      </w:r>
      <w:r w:rsidR="009E0D23">
        <w:rPr>
          <w:rFonts w:ascii="Calibri" w:hAnsi="Calibri" w:cs="Calibri"/>
          <w:sz w:val="24"/>
          <w:szCs w:val="24"/>
          <w:lang w:val="el-GR"/>
        </w:rPr>
        <w:t>/μη κατοίκους Κύπρου</w:t>
      </w:r>
      <w:r w:rsidR="002A223D">
        <w:rPr>
          <w:rFonts w:ascii="Calibri" w:hAnsi="Calibri" w:cs="Calibri"/>
          <w:sz w:val="24"/>
          <w:szCs w:val="24"/>
          <w:lang w:val="el-GR"/>
        </w:rPr>
        <w:t xml:space="preserve"> έχουν μειωθεί ουσιαστικά. Πέρα από τα συνολικά στοιχεία πωλήσεων, στα οποία περιλαμβάνονται και πωλήσεις σε μεγάλης οικονομικής επιφάνειας ξένους, οι οποίες έχουν σταματήσει μετά τις εξελίξεις στο Πρόγραμμα Διαβατηρίων, αξίζει να σημειωθεί πως παρόμοια μείωση διαφαίνεται και στα οικιστικά δάνεια προς μη κατοίκους της Κύπρου</w:t>
      </w:r>
      <w:r w:rsidR="00CC7828">
        <w:rPr>
          <w:rFonts w:ascii="Calibri" w:hAnsi="Calibri" w:cs="Calibri"/>
          <w:sz w:val="24"/>
          <w:szCs w:val="24"/>
          <w:lang w:val="el-GR"/>
        </w:rPr>
        <w:t xml:space="preserve">. </w:t>
      </w:r>
    </w:p>
    <w:p w14:paraId="0435AB6B" w14:textId="0CC39753" w:rsidR="00812F38" w:rsidRPr="00CC7828" w:rsidRDefault="00CC7828"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Αυτό το στοιχείο υπονοεί </w:t>
      </w:r>
      <w:r w:rsidR="009E0D23">
        <w:rPr>
          <w:rFonts w:ascii="Calibri" w:hAnsi="Calibri" w:cs="Calibri"/>
          <w:sz w:val="24"/>
          <w:szCs w:val="24"/>
          <w:lang w:val="el-GR"/>
        </w:rPr>
        <w:t>πως</w:t>
      </w:r>
      <w:r>
        <w:rPr>
          <w:rFonts w:ascii="Calibri" w:hAnsi="Calibri" w:cs="Calibri"/>
          <w:sz w:val="24"/>
          <w:szCs w:val="24"/>
          <w:lang w:val="el-GR"/>
        </w:rPr>
        <w:t xml:space="preserve"> ρόλο στην μείωση πωλήσεων σε ξένους είχαν επίσης εξελίξεις όπως την Πανδημία και την γενικότερη μείωση των εισοδημάτων των νοικοκυριών σε χώρες προέλευσης, καθώς και οι πολιτικές εξελίξεις του </w:t>
      </w:r>
      <w:r>
        <w:rPr>
          <w:rFonts w:ascii="Calibri" w:hAnsi="Calibri" w:cs="Calibri"/>
          <w:sz w:val="24"/>
          <w:szCs w:val="24"/>
          <w:lang w:val="en-US"/>
        </w:rPr>
        <w:t>Brexit</w:t>
      </w:r>
      <w:r w:rsidRPr="00CC7828">
        <w:rPr>
          <w:rFonts w:ascii="Calibri" w:hAnsi="Calibri" w:cs="Calibri"/>
          <w:sz w:val="24"/>
          <w:szCs w:val="24"/>
          <w:lang w:val="el-GR"/>
        </w:rPr>
        <w:t xml:space="preserve">. </w:t>
      </w:r>
    </w:p>
    <w:p w14:paraId="104FA99E" w14:textId="77777777" w:rsidR="009E0D23" w:rsidRDefault="004127DE"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 xml:space="preserve">Ωστόσο, δεδομένα του ΔΝΤ </w:t>
      </w:r>
      <w:r w:rsidR="002A223D">
        <w:rPr>
          <w:rFonts w:ascii="Calibri" w:hAnsi="Calibri" w:cs="Calibri"/>
          <w:sz w:val="24"/>
          <w:szCs w:val="24"/>
          <w:lang w:val="el-GR"/>
        </w:rPr>
        <w:t xml:space="preserve">και της ΕΚΤ καταδεικνύουν </w:t>
      </w:r>
      <w:r w:rsidR="002A223D" w:rsidRPr="00CC7828">
        <w:rPr>
          <w:rFonts w:ascii="Calibri" w:hAnsi="Calibri" w:cs="Calibri"/>
          <w:b/>
          <w:bCs/>
          <w:sz w:val="24"/>
          <w:szCs w:val="24"/>
          <w:lang w:val="el-GR"/>
        </w:rPr>
        <w:t>μια τάση</w:t>
      </w:r>
      <w:r w:rsidRPr="00CC7828">
        <w:rPr>
          <w:rFonts w:ascii="Calibri" w:hAnsi="Calibri" w:cs="Calibri"/>
          <w:b/>
          <w:bCs/>
          <w:sz w:val="24"/>
          <w:szCs w:val="24"/>
          <w:lang w:val="el-GR"/>
        </w:rPr>
        <w:t xml:space="preserve"> αντιστροφή</w:t>
      </w:r>
      <w:r w:rsidR="002A223D" w:rsidRPr="00CC7828">
        <w:rPr>
          <w:rFonts w:ascii="Calibri" w:hAnsi="Calibri" w:cs="Calibri"/>
          <w:b/>
          <w:bCs/>
          <w:sz w:val="24"/>
          <w:szCs w:val="24"/>
          <w:lang w:val="el-GR"/>
        </w:rPr>
        <w:t>ς</w:t>
      </w:r>
      <w:r>
        <w:rPr>
          <w:rFonts w:ascii="Calibri" w:hAnsi="Calibri" w:cs="Calibri"/>
          <w:sz w:val="24"/>
          <w:szCs w:val="24"/>
          <w:lang w:val="el-GR"/>
        </w:rPr>
        <w:t xml:space="preserve"> </w:t>
      </w:r>
      <w:r w:rsidR="002A223D">
        <w:rPr>
          <w:rFonts w:ascii="Calibri" w:hAnsi="Calibri" w:cs="Calibri"/>
          <w:sz w:val="24"/>
          <w:szCs w:val="24"/>
          <w:lang w:val="el-GR"/>
        </w:rPr>
        <w:t>αυτής της τάσης από το δ’ τρίμηνο</w:t>
      </w:r>
      <w:r>
        <w:rPr>
          <w:rFonts w:ascii="Calibri" w:hAnsi="Calibri" w:cs="Calibri"/>
          <w:sz w:val="24"/>
          <w:szCs w:val="24"/>
          <w:lang w:val="el-GR"/>
        </w:rPr>
        <w:t xml:space="preserve"> και αυξητική τάση στις τιμές, παρά την συνεχιζόμενη μείωση των πωλήσεων σε μη κατοίκους Κύπρου. </w:t>
      </w:r>
      <w:r w:rsidR="002A223D">
        <w:rPr>
          <w:rFonts w:ascii="Calibri" w:hAnsi="Calibri" w:cs="Calibri"/>
          <w:sz w:val="24"/>
          <w:szCs w:val="24"/>
          <w:lang w:val="el-GR"/>
        </w:rPr>
        <w:t>Η αύξηση στις τιμές διαφαίνεται σε όλες τις μεθοδολογίες και δείκτες, και φαίνεται πως είναι υψηλότερη από την αντίστοιχη αύξηση στο κόστος παραγωγής</w:t>
      </w:r>
      <w:r w:rsidR="002A223D">
        <w:rPr>
          <w:rStyle w:val="FootnoteReference"/>
          <w:rFonts w:ascii="Calibri" w:hAnsi="Calibri" w:cs="Calibri"/>
          <w:sz w:val="24"/>
          <w:szCs w:val="24"/>
          <w:lang w:val="el-GR"/>
        </w:rPr>
        <w:footnoteReference w:id="1"/>
      </w:r>
      <w:r w:rsidR="002A223D">
        <w:rPr>
          <w:rFonts w:ascii="Calibri" w:hAnsi="Calibri" w:cs="Calibri"/>
          <w:sz w:val="24"/>
          <w:szCs w:val="24"/>
          <w:lang w:val="el-GR"/>
        </w:rPr>
        <w:t xml:space="preserve">. </w:t>
      </w:r>
    </w:p>
    <w:p w14:paraId="0819FE39" w14:textId="3081EB67" w:rsidR="004127DE" w:rsidRDefault="009E0D23"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Αξίζει να σημειωθεί πως</w:t>
      </w:r>
      <w:r w:rsidR="002A223D">
        <w:rPr>
          <w:rFonts w:ascii="Calibri" w:hAnsi="Calibri" w:cs="Calibri"/>
          <w:sz w:val="24"/>
          <w:szCs w:val="24"/>
          <w:lang w:val="el-GR"/>
        </w:rPr>
        <w:t xml:space="preserve"> οι δείκτες παραμένουν χαμηλότεροι από εκείνους του 2019-2020, παρά την αυξητική τάση που ξεκίνησε στο δεύτερο μισό του 2021. </w:t>
      </w:r>
      <w:r w:rsidR="00CC7828">
        <w:rPr>
          <w:rFonts w:ascii="Calibri" w:hAnsi="Calibri" w:cs="Calibri"/>
          <w:sz w:val="24"/>
          <w:szCs w:val="24"/>
          <w:lang w:val="el-GR"/>
        </w:rPr>
        <w:t xml:space="preserve">Οι δείκτες τιμών, μάλιστα, παραμένουν χαμηλότεροι ακόμα και από το 2010, παρά την υψηλότερη αύξηση στο κόστος κατασκευών. </w:t>
      </w:r>
    </w:p>
    <w:p w14:paraId="71930D3C" w14:textId="231C8B13" w:rsidR="00CC7828" w:rsidRDefault="00CC7828"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lastRenderedPageBreak/>
        <w:t>Τα στοιχεία της ΕΚΤ καταγράφουν την ίδια εικόνα</w:t>
      </w:r>
      <w:r w:rsidR="00705349">
        <w:rPr>
          <w:rFonts w:ascii="Calibri" w:hAnsi="Calibri" w:cs="Calibri"/>
          <w:sz w:val="24"/>
          <w:szCs w:val="24"/>
          <w:lang w:val="el-GR"/>
        </w:rPr>
        <w:t xml:space="preserve">- σταθεροποίηση δηλαδή των τιμών τους τελευταίους 18 με 24 μήνες, αλλά με αυξητικές πιέσεις στο τελευταίο διάστημα. </w:t>
      </w:r>
    </w:p>
    <w:p w14:paraId="55440403" w14:textId="77777777" w:rsidR="009E0D23" w:rsidRDefault="009E0D23" w:rsidP="001C7377">
      <w:pPr>
        <w:tabs>
          <w:tab w:val="left" w:pos="1077"/>
        </w:tabs>
        <w:spacing w:before="160" w:after="0" w:line="264" w:lineRule="auto"/>
        <w:rPr>
          <w:rFonts w:ascii="Calibri" w:hAnsi="Calibri" w:cs="Calibri"/>
          <w:sz w:val="24"/>
          <w:szCs w:val="24"/>
          <w:lang w:val="el-GR"/>
        </w:rPr>
      </w:pPr>
    </w:p>
    <w:p w14:paraId="23F66710" w14:textId="7A0B6B33" w:rsidR="00A97DBF" w:rsidRPr="009E0D23" w:rsidRDefault="00705349" w:rsidP="001C7377">
      <w:pPr>
        <w:pStyle w:val="ListParagraph"/>
        <w:numPr>
          <w:ilvl w:val="0"/>
          <w:numId w:val="42"/>
        </w:numPr>
        <w:tabs>
          <w:tab w:val="left" w:pos="1077"/>
        </w:tabs>
        <w:spacing w:before="160" w:after="0" w:line="264" w:lineRule="auto"/>
        <w:rPr>
          <w:rFonts w:ascii="Calibri" w:hAnsi="Calibri" w:cs="Calibri"/>
          <w:b/>
          <w:bCs/>
          <w:sz w:val="24"/>
          <w:szCs w:val="24"/>
          <w:lang w:val="el-GR"/>
        </w:rPr>
      </w:pPr>
      <w:r w:rsidRPr="009E0D23">
        <w:rPr>
          <w:rFonts w:ascii="Calibri" w:hAnsi="Calibri" w:cs="Calibri"/>
          <w:b/>
          <w:bCs/>
          <w:sz w:val="24"/>
          <w:szCs w:val="24"/>
          <w:lang w:val="el-GR"/>
        </w:rPr>
        <w:t>Οι τιμές ακινήτων και δη οικιστικών καταλυμάτων έχουν μία αυξητική τάση το τελευταίο διάστημα, μετά από μία περίοδο σταθεροποίησης, η οποία συνάδει και με την κρίση της Πανδημίας</w:t>
      </w:r>
    </w:p>
    <w:p w14:paraId="63BFC348" w14:textId="1546086A" w:rsidR="00705349" w:rsidRPr="00FB1A60" w:rsidRDefault="00705349" w:rsidP="00FB1A60">
      <w:pPr>
        <w:pStyle w:val="ListParagraph"/>
        <w:numPr>
          <w:ilvl w:val="0"/>
          <w:numId w:val="37"/>
        </w:numPr>
        <w:tabs>
          <w:tab w:val="left" w:pos="1077"/>
        </w:tabs>
        <w:spacing w:before="160" w:after="0" w:line="264" w:lineRule="auto"/>
        <w:rPr>
          <w:rFonts w:ascii="Calibri" w:hAnsi="Calibri" w:cs="Calibri"/>
          <w:b/>
          <w:bCs/>
          <w:sz w:val="24"/>
          <w:szCs w:val="24"/>
          <w:lang w:val="el-GR"/>
        </w:rPr>
      </w:pPr>
      <w:r w:rsidRPr="00FB1A60">
        <w:rPr>
          <w:rFonts w:ascii="Calibri" w:hAnsi="Calibri" w:cs="Calibri"/>
          <w:b/>
          <w:bCs/>
          <w:sz w:val="24"/>
          <w:szCs w:val="24"/>
          <w:lang w:val="el-GR"/>
        </w:rPr>
        <w:t xml:space="preserve">Το κόστος παραγωγής αυξάνεται, αλλά λιγότερο ραγδαία από ό,τι στην υπόλοιπη ΕΕ και λιγότερο από ό,τι αυξάνονται οι τιμές. </w:t>
      </w:r>
    </w:p>
    <w:p w14:paraId="3ABD97AF" w14:textId="340DB0A4" w:rsidR="00705349" w:rsidRPr="00FB1A60" w:rsidRDefault="00705349" w:rsidP="00FB1A60">
      <w:pPr>
        <w:pStyle w:val="ListParagraph"/>
        <w:numPr>
          <w:ilvl w:val="0"/>
          <w:numId w:val="37"/>
        </w:numPr>
        <w:tabs>
          <w:tab w:val="left" w:pos="1077"/>
        </w:tabs>
        <w:spacing w:before="160" w:after="0" w:line="264" w:lineRule="auto"/>
        <w:rPr>
          <w:rFonts w:ascii="Calibri" w:hAnsi="Calibri" w:cs="Calibri"/>
          <w:b/>
          <w:bCs/>
          <w:sz w:val="24"/>
          <w:szCs w:val="24"/>
          <w:lang w:val="el-GR"/>
        </w:rPr>
      </w:pPr>
      <w:r w:rsidRPr="00FB1A60">
        <w:rPr>
          <w:rFonts w:ascii="Calibri" w:hAnsi="Calibri" w:cs="Calibri"/>
          <w:b/>
          <w:bCs/>
          <w:sz w:val="24"/>
          <w:szCs w:val="24"/>
          <w:lang w:val="el-GR"/>
        </w:rPr>
        <w:t xml:space="preserve">Η αύξηση των τιμών δεν συνάδει με την ουσιαστική μείωση της συνολικής ζήτησης στην αγορά, </w:t>
      </w:r>
      <w:r w:rsidR="009E0D23">
        <w:rPr>
          <w:rFonts w:ascii="Calibri" w:hAnsi="Calibri" w:cs="Calibri"/>
          <w:b/>
          <w:bCs/>
          <w:sz w:val="24"/>
          <w:szCs w:val="24"/>
          <w:lang w:val="el-GR"/>
        </w:rPr>
        <w:t xml:space="preserve">που προέρχεται από </w:t>
      </w:r>
      <w:r w:rsidRPr="00FB1A60">
        <w:rPr>
          <w:rFonts w:ascii="Calibri" w:hAnsi="Calibri" w:cs="Calibri"/>
          <w:b/>
          <w:bCs/>
          <w:sz w:val="24"/>
          <w:szCs w:val="24"/>
          <w:lang w:val="el-GR"/>
        </w:rPr>
        <w:t xml:space="preserve">το πάγωμα των πωλήσεων σε ξένους, κι αυτό δεικνύει πως υπάρχουν στρεβλώσεις στην αγορά. </w:t>
      </w:r>
    </w:p>
    <w:p w14:paraId="2F4852DC" w14:textId="1F3CF68D" w:rsidR="00705349" w:rsidRPr="00FB1A60" w:rsidRDefault="00705349" w:rsidP="00FB1A60">
      <w:pPr>
        <w:pStyle w:val="ListParagraph"/>
        <w:numPr>
          <w:ilvl w:val="0"/>
          <w:numId w:val="37"/>
        </w:numPr>
        <w:tabs>
          <w:tab w:val="left" w:pos="1077"/>
        </w:tabs>
        <w:spacing w:before="160" w:after="0" w:line="264" w:lineRule="auto"/>
        <w:rPr>
          <w:rFonts w:ascii="Calibri" w:hAnsi="Calibri" w:cs="Calibri"/>
          <w:b/>
          <w:bCs/>
          <w:sz w:val="24"/>
          <w:szCs w:val="24"/>
          <w:lang w:val="el-GR"/>
        </w:rPr>
      </w:pPr>
      <w:r w:rsidRPr="00FB1A60">
        <w:rPr>
          <w:rFonts w:ascii="Calibri" w:hAnsi="Calibri" w:cs="Calibri"/>
          <w:b/>
          <w:bCs/>
          <w:sz w:val="24"/>
          <w:szCs w:val="24"/>
          <w:lang w:val="el-GR"/>
        </w:rPr>
        <w:t>Ενδεχομένως η αυξημένη ζήτηση να οφείλεται σε χρηματοπιστω</w:t>
      </w:r>
      <w:r w:rsidR="00FB1A60" w:rsidRPr="00FB1A60">
        <w:rPr>
          <w:rFonts w:ascii="Calibri" w:hAnsi="Calibri" w:cs="Calibri"/>
          <w:b/>
          <w:bCs/>
          <w:sz w:val="24"/>
          <w:szCs w:val="24"/>
          <w:lang w:val="el-GR"/>
        </w:rPr>
        <w:t xml:space="preserve">τικά φαινόμενα, με την συνεχιζόμενη αύξηση στις συνολικές αποταμιεύσεις των νοικοκυριών, σε συνδυασμό με μια μακρά περίοδο χαμηλών επιτοκίων και χαμηλού κόστους δανεισμού. </w:t>
      </w:r>
    </w:p>
    <w:p w14:paraId="00CB516C" w14:textId="70404119" w:rsidR="00FB1A60" w:rsidRPr="00FB1A60" w:rsidRDefault="00FB1A60" w:rsidP="00FB1A60">
      <w:pPr>
        <w:pStyle w:val="ListParagraph"/>
        <w:numPr>
          <w:ilvl w:val="0"/>
          <w:numId w:val="37"/>
        </w:numPr>
        <w:tabs>
          <w:tab w:val="left" w:pos="1077"/>
        </w:tabs>
        <w:spacing w:before="160" w:after="0" w:line="264" w:lineRule="auto"/>
        <w:rPr>
          <w:rFonts w:ascii="Calibri" w:hAnsi="Calibri" w:cs="Calibri"/>
          <w:b/>
          <w:bCs/>
          <w:sz w:val="24"/>
          <w:szCs w:val="24"/>
          <w:lang w:val="el-GR"/>
        </w:rPr>
      </w:pPr>
      <w:r w:rsidRPr="00FB1A60">
        <w:rPr>
          <w:rFonts w:ascii="Calibri" w:hAnsi="Calibri" w:cs="Calibri"/>
          <w:b/>
          <w:bCs/>
          <w:sz w:val="24"/>
          <w:szCs w:val="24"/>
          <w:lang w:val="el-GR"/>
        </w:rPr>
        <w:t xml:space="preserve">Σημειώνεται πως η χρηματοπιστωτική διαμεσολάβηση στην Κύπρο είναι ανεπαρκής, με αποτέλεσμα οι αποταμιεύσεις των νοικοκυριών να έχουν μόνο δύο προορισμούς εντός Κύπρου: Αυξημένες καταθέσεις και αγορά ακινήτων. Λόγω της ανεπάρκειας επενδυτικών επιλογών, φαίνεται πως η συνολική ζήτηση στα ακίνητα είναι τεχνητά υψηλή και κατά πάσα πιθανότητα μη βιώσιμη, αφού η πραγματική οικονομία δεν απορροφά τις αποταμιεύσεις υπό τη μορφή επενδύσεων. </w:t>
      </w:r>
      <w:r w:rsidR="00A97DBF">
        <w:rPr>
          <w:rFonts w:ascii="Calibri" w:hAnsi="Calibri" w:cs="Calibri"/>
          <w:b/>
          <w:bCs/>
          <w:sz w:val="24"/>
          <w:szCs w:val="24"/>
          <w:lang w:val="el-GR"/>
        </w:rPr>
        <w:t xml:space="preserve">Παρόλο ότι τα ποσοστά ιδιοκατοίκησης δεν είναι ακόμα προβληματικά, η σταδιακή μείωση της ζήτησης μπορεί να οδηγήσει σε διάβρωση της αξίας των επενδύσεων που γίνεται σήμερα σε ακίνητα, τόσο από επιχειρήσεις όσο και από νοικοκυριά. </w:t>
      </w:r>
    </w:p>
    <w:p w14:paraId="77517F3A" w14:textId="5238CFBC" w:rsidR="00FB1A60" w:rsidRDefault="00FB1A60" w:rsidP="00FB1A60">
      <w:pPr>
        <w:pStyle w:val="ListParagraph"/>
        <w:numPr>
          <w:ilvl w:val="0"/>
          <w:numId w:val="37"/>
        </w:numPr>
        <w:tabs>
          <w:tab w:val="left" w:pos="1077"/>
        </w:tabs>
        <w:spacing w:before="160" w:after="0" w:line="264" w:lineRule="auto"/>
        <w:rPr>
          <w:rFonts w:ascii="Calibri" w:hAnsi="Calibri" w:cs="Calibri"/>
          <w:b/>
          <w:bCs/>
          <w:sz w:val="24"/>
          <w:szCs w:val="24"/>
          <w:lang w:val="el-GR"/>
        </w:rPr>
      </w:pPr>
      <w:r w:rsidRPr="00FB1A60">
        <w:rPr>
          <w:rFonts w:ascii="Calibri" w:hAnsi="Calibri" w:cs="Calibri"/>
          <w:b/>
          <w:bCs/>
          <w:sz w:val="24"/>
          <w:szCs w:val="24"/>
          <w:lang w:val="el-GR"/>
        </w:rPr>
        <w:t xml:space="preserve">Επιβεβαιώνεται η κατεπείγουσα ανάγκη για ενίσχυση της κεφαλαιαγοράς με </w:t>
      </w:r>
      <w:r w:rsidR="00A97DBF">
        <w:rPr>
          <w:rFonts w:ascii="Calibri" w:hAnsi="Calibri" w:cs="Calibri"/>
          <w:b/>
          <w:bCs/>
          <w:sz w:val="24"/>
          <w:szCs w:val="24"/>
          <w:lang w:val="el-GR"/>
        </w:rPr>
        <w:t>εστίαση σ</w:t>
      </w:r>
      <w:r w:rsidRPr="00FB1A60">
        <w:rPr>
          <w:rFonts w:ascii="Calibri" w:hAnsi="Calibri" w:cs="Calibri"/>
          <w:b/>
          <w:bCs/>
          <w:sz w:val="24"/>
          <w:szCs w:val="24"/>
          <w:lang w:val="el-GR"/>
        </w:rPr>
        <w:t xml:space="preserve">τις μεσαίου μεγέθους επενδύσεις στην πραγματική οικονομία, κάτι που θα πρέπει να αποτελέσει σημαντικό επίκεντρο μελέτης στο επόμενο διάστημα. Πολιτικές κινήτρων και ενθάρρυνσης θεσμοθετημένων λύσεων πρέπει πλέον να θεωρούνται σοβαρή ανάγκη για την στήριξη της ανάπτυξης και της βιωσιμότητας στην Κύπρο. </w:t>
      </w:r>
    </w:p>
    <w:p w14:paraId="68862FEB" w14:textId="77777777" w:rsidR="00FE0C08" w:rsidRPr="00FE0C08" w:rsidRDefault="00FE0C08" w:rsidP="00FE0C08">
      <w:pPr>
        <w:tabs>
          <w:tab w:val="left" w:pos="1077"/>
        </w:tabs>
        <w:spacing w:before="160" w:after="0" w:line="264" w:lineRule="auto"/>
        <w:rPr>
          <w:rFonts w:ascii="Calibri" w:hAnsi="Calibri" w:cs="Calibri"/>
          <w:b/>
          <w:bCs/>
          <w:sz w:val="24"/>
          <w:szCs w:val="24"/>
          <w:lang w:val="el-GR"/>
        </w:rPr>
      </w:pPr>
    </w:p>
    <w:p w14:paraId="4CC2723D" w14:textId="3CCF79BF" w:rsidR="00CC7828" w:rsidRPr="00CC7828" w:rsidRDefault="00CC7828" w:rsidP="001C7377">
      <w:pPr>
        <w:tabs>
          <w:tab w:val="left" w:pos="1077"/>
        </w:tabs>
        <w:spacing w:before="160" w:after="0" w:line="264" w:lineRule="auto"/>
        <w:rPr>
          <w:rFonts w:ascii="Calibri" w:hAnsi="Calibri" w:cs="Calibri"/>
          <w:sz w:val="24"/>
          <w:szCs w:val="24"/>
          <w:lang w:val="el-GR"/>
        </w:rPr>
      </w:pPr>
      <w:r>
        <w:rPr>
          <w:noProof/>
        </w:rPr>
        <w:lastRenderedPageBreak/>
        <w:drawing>
          <wp:inline distT="0" distB="0" distL="0" distR="0" wp14:anchorId="7E7E7484" wp14:editId="4FCFA98A">
            <wp:extent cx="5935980" cy="3869690"/>
            <wp:effectExtent l="0" t="0" r="7620" b="16510"/>
            <wp:docPr id="1" name="Chart 1">
              <a:extLst xmlns:a="http://schemas.openxmlformats.org/drawingml/2006/main">
                <a:ext uri="{FF2B5EF4-FFF2-40B4-BE49-F238E27FC236}">
                  <a16:creationId xmlns:a16="http://schemas.microsoft.com/office/drawing/2014/main" id="{D5AA2A3F-D6BB-2C4D-9B53-DAEBCDA535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13ECF8" w14:textId="77777777" w:rsidR="00A97DBF" w:rsidRDefault="00A97DBF" w:rsidP="001C7377">
      <w:pPr>
        <w:tabs>
          <w:tab w:val="left" w:pos="1077"/>
        </w:tabs>
        <w:spacing w:before="160" w:after="0" w:line="264" w:lineRule="auto"/>
        <w:rPr>
          <w:rFonts w:ascii="Calibri" w:hAnsi="Calibri" w:cs="Calibri"/>
          <w:b/>
          <w:bCs/>
          <w:sz w:val="24"/>
          <w:szCs w:val="24"/>
          <w:u w:val="single"/>
          <w:lang w:val="el-GR"/>
        </w:rPr>
      </w:pPr>
    </w:p>
    <w:p w14:paraId="35FD7CE4" w14:textId="77777777" w:rsidR="00A97DBF" w:rsidRDefault="00A97DBF" w:rsidP="001C7377">
      <w:pPr>
        <w:tabs>
          <w:tab w:val="left" w:pos="1077"/>
        </w:tabs>
        <w:spacing w:before="160" w:after="0" w:line="264" w:lineRule="auto"/>
        <w:rPr>
          <w:rFonts w:ascii="Calibri" w:hAnsi="Calibri" w:cs="Calibri"/>
          <w:b/>
          <w:bCs/>
          <w:sz w:val="24"/>
          <w:szCs w:val="24"/>
          <w:u w:val="single"/>
          <w:lang w:val="el-GR"/>
        </w:rPr>
      </w:pPr>
    </w:p>
    <w:p w14:paraId="013D2F1E" w14:textId="77777777" w:rsidR="00A97DBF" w:rsidRDefault="00A97DBF" w:rsidP="001C7377">
      <w:pPr>
        <w:tabs>
          <w:tab w:val="left" w:pos="1077"/>
        </w:tabs>
        <w:spacing w:before="160" w:after="0" w:line="264" w:lineRule="auto"/>
        <w:rPr>
          <w:rFonts w:ascii="Calibri" w:hAnsi="Calibri" w:cs="Calibri"/>
          <w:b/>
          <w:bCs/>
          <w:sz w:val="24"/>
          <w:szCs w:val="24"/>
          <w:u w:val="single"/>
          <w:lang w:val="el-GR"/>
        </w:rPr>
      </w:pPr>
    </w:p>
    <w:p w14:paraId="7D3916B9" w14:textId="662A5A12" w:rsidR="00705349" w:rsidRDefault="00812F38" w:rsidP="001C7377">
      <w:pPr>
        <w:pStyle w:val="ListParagraph"/>
        <w:numPr>
          <w:ilvl w:val="0"/>
          <w:numId w:val="39"/>
        </w:numPr>
        <w:tabs>
          <w:tab w:val="left" w:pos="1077"/>
        </w:tabs>
        <w:spacing w:before="160" w:after="0" w:line="264" w:lineRule="auto"/>
        <w:rPr>
          <w:rFonts w:ascii="Calibri" w:hAnsi="Calibri" w:cs="Calibri"/>
          <w:b/>
          <w:bCs/>
          <w:sz w:val="24"/>
          <w:szCs w:val="24"/>
          <w:u w:val="single"/>
          <w:lang w:val="el-GR"/>
        </w:rPr>
      </w:pPr>
      <w:r w:rsidRPr="00F225FE">
        <w:rPr>
          <w:rFonts w:ascii="Calibri" w:hAnsi="Calibri" w:cs="Calibri"/>
          <w:b/>
          <w:bCs/>
          <w:sz w:val="24"/>
          <w:szCs w:val="24"/>
          <w:u w:val="single"/>
          <w:lang w:val="el-GR"/>
        </w:rPr>
        <w:t>Φόρτος εξυπηρέτησης</w:t>
      </w:r>
    </w:p>
    <w:p w14:paraId="01CE437A" w14:textId="02CFB15B" w:rsidR="00FE0C08" w:rsidRPr="00492A9B" w:rsidRDefault="00FE0C08" w:rsidP="00FE0C08">
      <w:pPr>
        <w:tabs>
          <w:tab w:val="left" w:pos="1077"/>
        </w:tabs>
        <w:spacing w:before="160" w:after="0" w:line="264" w:lineRule="auto"/>
        <w:rPr>
          <w:rFonts w:ascii="Calibri" w:hAnsi="Calibri" w:cs="Calibri"/>
          <w:sz w:val="24"/>
          <w:szCs w:val="24"/>
          <w:lang w:val="el-GR"/>
        </w:rPr>
      </w:pPr>
      <w:r w:rsidRPr="00492A9B">
        <w:rPr>
          <w:rFonts w:ascii="Calibri" w:hAnsi="Calibri" w:cs="Calibri"/>
          <w:sz w:val="24"/>
          <w:szCs w:val="24"/>
          <w:lang w:val="el-GR"/>
        </w:rPr>
        <w:t xml:space="preserve">Το κόστος κατοίκησης για τα νοικοκυριά στην Κύπρο παραμένει συλλογικά αρκετά χαμηλό σε σχέση με άλλες κοινωνίες της Ευρώπης. Μόλις το 1.4% των αγροτικών νοικοκυριών και 2.4% των αστικών, αφιερώνουν περισσότερο από το 40% του Διαθέσιμου Εισοδήματος τους σε οικιστικούς σκοπούς. </w:t>
      </w:r>
      <w:r w:rsidR="00E37134" w:rsidRPr="00492A9B">
        <w:rPr>
          <w:rFonts w:ascii="Calibri" w:hAnsi="Calibri" w:cs="Calibri"/>
          <w:sz w:val="24"/>
          <w:szCs w:val="24"/>
          <w:lang w:val="el-GR"/>
        </w:rPr>
        <w:t xml:space="preserve">Γενικότερα, το πρόβλημα κόστους οικιστικών αναγκών είναι εντονότερο στις πόλεις, κάτι που επιβεβαιώνει, όχι μόνο τις </w:t>
      </w:r>
      <w:r w:rsidR="009E0D23" w:rsidRPr="00492A9B">
        <w:rPr>
          <w:rFonts w:ascii="Calibri" w:hAnsi="Calibri" w:cs="Calibri"/>
          <w:sz w:val="24"/>
          <w:szCs w:val="24"/>
          <w:lang w:val="el-GR"/>
        </w:rPr>
        <w:t>εντυπώσεις</w:t>
      </w:r>
      <w:r w:rsidR="00E37134" w:rsidRPr="00492A9B">
        <w:rPr>
          <w:rFonts w:ascii="Calibri" w:hAnsi="Calibri" w:cs="Calibri"/>
          <w:sz w:val="24"/>
          <w:szCs w:val="24"/>
          <w:lang w:val="el-GR"/>
        </w:rPr>
        <w:t xml:space="preserve"> </w:t>
      </w:r>
      <w:r w:rsidR="009E0D23" w:rsidRPr="00492A9B">
        <w:rPr>
          <w:rFonts w:ascii="Calibri" w:hAnsi="Calibri" w:cs="Calibri"/>
          <w:sz w:val="24"/>
          <w:szCs w:val="24"/>
          <w:lang w:val="el-GR"/>
        </w:rPr>
        <w:t>κοινωνικών</w:t>
      </w:r>
      <w:r w:rsidR="00E37134" w:rsidRPr="00492A9B">
        <w:rPr>
          <w:rFonts w:ascii="Calibri" w:hAnsi="Calibri" w:cs="Calibri"/>
          <w:sz w:val="24"/>
          <w:szCs w:val="24"/>
          <w:lang w:val="el-GR"/>
        </w:rPr>
        <w:t xml:space="preserve"> συνθηκών αλλά και ενδεχομένως τα υψηλότερα ποσοστά ιδιοκατοίκησης στις αγροτικές περιοχές. </w:t>
      </w:r>
      <w:r w:rsidRPr="00492A9B">
        <w:rPr>
          <w:rFonts w:ascii="Calibri" w:hAnsi="Calibri" w:cs="Calibri"/>
          <w:sz w:val="24"/>
          <w:szCs w:val="24"/>
          <w:lang w:val="el-GR"/>
        </w:rPr>
        <w:t xml:space="preserve">Κατά μέσο όρο στην ΕΕ τα αντίστοιχα ποσοστά ανέρχονται σε 7% και 12.3%, ενώ τα υψηλότερα ποσοστά νοικοκυριών που αφιερώνουν το 40% του Διαθέσιμού τους Εισοδήματος σε οικιστικούς σκοπούς, καταγράφεται στην Ελλάδα, με 36.9% (αγροτικά) και 23.9% (αστικά). </w:t>
      </w:r>
    </w:p>
    <w:p w14:paraId="215BAC12" w14:textId="57B8A9E1" w:rsidR="00E37134" w:rsidRPr="00492A9B" w:rsidRDefault="00E37134" w:rsidP="00FE0C08">
      <w:pPr>
        <w:tabs>
          <w:tab w:val="left" w:pos="1077"/>
        </w:tabs>
        <w:spacing w:before="160" w:after="0" w:line="264" w:lineRule="auto"/>
        <w:rPr>
          <w:rFonts w:ascii="Calibri" w:hAnsi="Calibri" w:cs="Calibri"/>
          <w:sz w:val="24"/>
          <w:szCs w:val="24"/>
          <w:lang w:val="el-GR"/>
        </w:rPr>
      </w:pPr>
      <w:r w:rsidRPr="00492A9B">
        <w:rPr>
          <w:rFonts w:ascii="Calibri" w:hAnsi="Calibri" w:cs="Calibri"/>
          <w:sz w:val="24"/>
          <w:szCs w:val="24"/>
          <w:lang w:val="el-GR"/>
        </w:rPr>
        <w:t xml:space="preserve">Φυσιολογικά, τα ποσοστά των νοικοκυριών που αφιερώνουν μεγάλο (&gt;40%) ποσοστό του Διαθέσιμού τους Εισοδήματος σε </w:t>
      </w:r>
      <w:r w:rsidR="00492A9B" w:rsidRPr="00492A9B">
        <w:rPr>
          <w:rFonts w:ascii="Calibri" w:hAnsi="Calibri" w:cs="Calibri"/>
          <w:sz w:val="24"/>
          <w:szCs w:val="24"/>
          <w:lang w:val="el-GR"/>
        </w:rPr>
        <w:t>οικιστικές</w:t>
      </w:r>
      <w:r w:rsidRPr="00492A9B">
        <w:rPr>
          <w:rFonts w:ascii="Calibri" w:hAnsi="Calibri" w:cs="Calibri"/>
          <w:sz w:val="24"/>
          <w:szCs w:val="24"/>
          <w:lang w:val="el-GR"/>
        </w:rPr>
        <w:t xml:space="preserve"> ανάγκες, είναι πολύ υψηλότερο ανάμεσα στα φτωχότερα νοικοκυριά</w:t>
      </w:r>
      <w:r w:rsidRPr="00492A9B">
        <w:rPr>
          <w:rStyle w:val="FootnoteReference"/>
          <w:rFonts w:ascii="Calibri" w:hAnsi="Calibri" w:cs="Calibri"/>
          <w:sz w:val="24"/>
          <w:szCs w:val="24"/>
          <w:lang w:val="el-GR"/>
        </w:rPr>
        <w:footnoteReference w:id="2"/>
      </w:r>
      <w:r w:rsidRPr="00492A9B">
        <w:rPr>
          <w:rFonts w:ascii="Calibri" w:hAnsi="Calibri" w:cs="Calibri"/>
          <w:sz w:val="24"/>
          <w:szCs w:val="24"/>
          <w:lang w:val="el-GR"/>
        </w:rPr>
        <w:t xml:space="preserve">. Σε αυτή την κατηγορία, το 18.1% αντιμετωπίζουν δυσχέρεια. Ωστόσο, το ποσοστό αυτό συγκρίνεται πολύ θετικά σε σχέση με την υπόλοιπη ΕΕ, όπου ο μέσος όρος καταγράφεται στο 40.2%, υπερδιπλάσιο της Κύπρου. </w:t>
      </w:r>
      <w:r w:rsidR="00092CD7" w:rsidRPr="00492A9B">
        <w:rPr>
          <w:rFonts w:ascii="Calibri" w:hAnsi="Calibri" w:cs="Calibri"/>
          <w:sz w:val="24"/>
          <w:szCs w:val="24"/>
          <w:lang w:val="el-GR"/>
        </w:rPr>
        <w:t xml:space="preserve">Με δεδομένο πως τα ποσοστά </w:t>
      </w:r>
      <w:r w:rsidR="00092CD7" w:rsidRPr="00492A9B">
        <w:rPr>
          <w:rFonts w:ascii="Calibri" w:hAnsi="Calibri" w:cs="Calibri"/>
          <w:sz w:val="24"/>
          <w:szCs w:val="24"/>
          <w:lang w:val="el-GR"/>
        </w:rPr>
        <w:lastRenderedPageBreak/>
        <w:t>ιδιοκατοίκησης στην Κύπρο είναι περίπου στο ίδιο επίπεδο με τον ευρωπαϊκό μέσο όρο, το στοιχείο αυτό καταδεικνύει θετικότερες κοινωνικές συνθήκες σε σύγκριση με την υπόλοιπη ΕΕ.</w:t>
      </w:r>
    </w:p>
    <w:p w14:paraId="751C94D7" w14:textId="4DB770F9" w:rsidR="00705349" w:rsidRPr="00492A9B" w:rsidRDefault="00FE0C08" w:rsidP="001C7377">
      <w:pPr>
        <w:tabs>
          <w:tab w:val="left" w:pos="1077"/>
        </w:tabs>
        <w:spacing w:before="160" w:after="0" w:line="264" w:lineRule="auto"/>
        <w:rPr>
          <w:rFonts w:ascii="Calibri" w:hAnsi="Calibri" w:cs="Calibri"/>
          <w:sz w:val="24"/>
          <w:szCs w:val="24"/>
          <w:lang w:val="el-GR"/>
        </w:rPr>
      </w:pPr>
      <w:r w:rsidRPr="00492A9B">
        <w:rPr>
          <w:rFonts w:ascii="Calibri" w:hAnsi="Calibri" w:cs="Calibri"/>
          <w:sz w:val="24"/>
          <w:szCs w:val="24"/>
          <w:lang w:val="el-GR"/>
        </w:rPr>
        <w:t xml:space="preserve">Κατά μέσο όρο, τα νοικοκυριά της Κύπρου αφιερώνουν το </w:t>
      </w:r>
      <w:r w:rsidR="00002855" w:rsidRPr="00492A9B">
        <w:rPr>
          <w:rFonts w:ascii="Calibri" w:hAnsi="Calibri" w:cs="Calibri"/>
          <w:sz w:val="24"/>
          <w:szCs w:val="24"/>
          <w:lang w:val="el-GR"/>
        </w:rPr>
        <w:t>11</w:t>
      </w:r>
      <w:r w:rsidRPr="00492A9B">
        <w:rPr>
          <w:rFonts w:ascii="Calibri" w:hAnsi="Calibri" w:cs="Calibri"/>
          <w:sz w:val="24"/>
          <w:szCs w:val="24"/>
          <w:lang w:val="el-GR"/>
        </w:rPr>
        <w:t>.</w:t>
      </w:r>
      <w:r w:rsidR="00002855" w:rsidRPr="00492A9B">
        <w:rPr>
          <w:rFonts w:ascii="Calibri" w:hAnsi="Calibri" w:cs="Calibri"/>
          <w:sz w:val="24"/>
          <w:szCs w:val="24"/>
          <w:lang w:val="el-GR"/>
        </w:rPr>
        <w:t>2</w:t>
      </w:r>
      <w:r w:rsidRPr="00492A9B">
        <w:rPr>
          <w:rFonts w:ascii="Calibri" w:hAnsi="Calibri" w:cs="Calibri"/>
          <w:sz w:val="24"/>
          <w:szCs w:val="24"/>
          <w:lang w:val="el-GR"/>
        </w:rPr>
        <w:t xml:space="preserve">% του </w:t>
      </w:r>
      <w:r w:rsidR="00E37134" w:rsidRPr="00492A9B">
        <w:rPr>
          <w:rFonts w:ascii="Calibri" w:hAnsi="Calibri" w:cs="Calibri"/>
          <w:sz w:val="24"/>
          <w:szCs w:val="24"/>
          <w:lang w:val="el-GR"/>
        </w:rPr>
        <w:t>Διαθέσιμο</w:t>
      </w:r>
      <w:r w:rsidR="00CB1C9C">
        <w:rPr>
          <w:rFonts w:ascii="Calibri" w:hAnsi="Calibri" w:cs="Calibri"/>
          <w:sz w:val="24"/>
          <w:szCs w:val="24"/>
          <w:lang w:val="el-GR"/>
        </w:rPr>
        <w:t>υ</w:t>
      </w:r>
      <w:r w:rsidRPr="00492A9B">
        <w:rPr>
          <w:rFonts w:ascii="Calibri" w:hAnsi="Calibri" w:cs="Calibri"/>
          <w:sz w:val="24"/>
          <w:szCs w:val="24"/>
          <w:lang w:val="el-GR"/>
        </w:rPr>
        <w:t xml:space="preserve"> Εισοδήματός τους σε οικιστικούς σκοπούς, </w:t>
      </w:r>
      <w:r w:rsidR="00002855" w:rsidRPr="00492A9B">
        <w:rPr>
          <w:rFonts w:ascii="Calibri" w:hAnsi="Calibri" w:cs="Calibri"/>
          <w:sz w:val="24"/>
          <w:szCs w:val="24"/>
          <w:lang w:val="el-GR"/>
        </w:rPr>
        <w:t>σε σχέση με 20.1% στην υπόλοιπη ΕΕ.</w:t>
      </w:r>
      <w:r w:rsidRPr="00492A9B">
        <w:rPr>
          <w:rFonts w:ascii="Calibri" w:hAnsi="Calibri" w:cs="Calibri"/>
          <w:sz w:val="24"/>
          <w:szCs w:val="24"/>
          <w:lang w:val="el-GR"/>
        </w:rPr>
        <w:t xml:space="preserve"> </w:t>
      </w:r>
      <w:r w:rsidR="00092CD7" w:rsidRPr="00492A9B">
        <w:rPr>
          <w:rFonts w:ascii="Calibri" w:hAnsi="Calibri" w:cs="Calibri"/>
          <w:sz w:val="24"/>
          <w:szCs w:val="24"/>
          <w:lang w:val="el-GR"/>
        </w:rPr>
        <w:t xml:space="preserve">Ωστόσο, θα πρέπει να αναμένεται κάποια αυξητική τάση, λόγω των γενικότερων </w:t>
      </w:r>
      <w:r w:rsidR="00CB1C9C">
        <w:rPr>
          <w:rFonts w:ascii="Calibri" w:hAnsi="Calibri" w:cs="Calibri"/>
          <w:sz w:val="24"/>
          <w:szCs w:val="24"/>
          <w:lang w:val="el-GR"/>
        </w:rPr>
        <w:t xml:space="preserve">μακροοικονομικών </w:t>
      </w:r>
      <w:r w:rsidR="00092CD7" w:rsidRPr="00492A9B">
        <w:rPr>
          <w:rFonts w:ascii="Calibri" w:hAnsi="Calibri" w:cs="Calibri"/>
          <w:sz w:val="24"/>
          <w:szCs w:val="24"/>
          <w:lang w:val="el-GR"/>
        </w:rPr>
        <w:t xml:space="preserve">συνθηκών στην Κύπρο. </w:t>
      </w:r>
    </w:p>
    <w:p w14:paraId="3C3F2E19" w14:textId="086A1BA5" w:rsidR="006A6415" w:rsidRDefault="00092CD7" w:rsidP="001C7377">
      <w:pPr>
        <w:tabs>
          <w:tab w:val="left" w:pos="1077"/>
        </w:tabs>
        <w:spacing w:before="160" w:after="0" w:line="264" w:lineRule="auto"/>
        <w:rPr>
          <w:rFonts w:ascii="Calibri" w:hAnsi="Calibri" w:cs="Calibri"/>
          <w:sz w:val="24"/>
          <w:szCs w:val="24"/>
          <w:lang w:val="el-GR"/>
        </w:rPr>
      </w:pPr>
      <w:r w:rsidRPr="00492A9B">
        <w:rPr>
          <w:rFonts w:ascii="Calibri" w:hAnsi="Calibri" w:cs="Calibri"/>
          <w:sz w:val="24"/>
          <w:szCs w:val="24"/>
          <w:lang w:val="el-GR"/>
        </w:rPr>
        <w:t xml:space="preserve">Σημαντικό στοιχείο αποτελεί γενικότερα η μακρά περίοδος χαμηλών επιτοκίων στα οικιστικά δάνεια, κάτι που έχει μεταφραστεί τα τελευταία χρόνια σε χαμηλό κόστος εξυπηρέτησης χρέους για τα νοικοκυριά που επιλέγουν την αγορά με σκοπό την ιδιοκατοίκηση. Τα στοιχεία της ΕΚΤ καταγράφουν σταθερά ποσά νέων δανείων προς κατοίκους Κύπρου, παρά την σταδιακή μείωση προς ξένους τα τελευταία χρόνια. </w:t>
      </w:r>
    </w:p>
    <w:p w14:paraId="0284B1D3" w14:textId="77777777" w:rsidR="009D0210" w:rsidRDefault="009D0210" w:rsidP="001C7377">
      <w:pPr>
        <w:tabs>
          <w:tab w:val="left" w:pos="1077"/>
        </w:tabs>
        <w:spacing w:before="160" w:after="0" w:line="264" w:lineRule="auto"/>
        <w:rPr>
          <w:rFonts w:ascii="Calibri" w:hAnsi="Calibri" w:cs="Calibri"/>
          <w:sz w:val="24"/>
          <w:szCs w:val="24"/>
          <w:lang w:val="el-GR"/>
        </w:rPr>
      </w:pPr>
    </w:p>
    <w:p w14:paraId="0C817A32" w14:textId="3155DAB5" w:rsidR="009D0210" w:rsidRDefault="009D0210" w:rsidP="001C7377">
      <w:pPr>
        <w:tabs>
          <w:tab w:val="left" w:pos="1077"/>
        </w:tabs>
        <w:spacing w:before="160" w:after="0" w:line="264" w:lineRule="auto"/>
        <w:rPr>
          <w:rFonts w:ascii="Calibri" w:hAnsi="Calibri" w:cs="Calibri"/>
          <w:sz w:val="24"/>
          <w:szCs w:val="24"/>
          <w:lang w:val="el-GR"/>
        </w:rPr>
      </w:pPr>
      <w:r>
        <w:rPr>
          <w:noProof/>
        </w:rPr>
        <w:drawing>
          <wp:inline distT="0" distB="0" distL="0" distR="0" wp14:anchorId="45B422E7" wp14:editId="6818A902">
            <wp:extent cx="5935980" cy="3868420"/>
            <wp:effectExtent l="0" t="0" r="7620" b="17780"/>
            <wp:docPr id="15" name="Chart 15">
              <a:extLst xmlns:a="http://schemas.openxmlformats.org/drawingml/2006/main">
                <a:ext uri="{FF2B5EF4-FFF2-40B4-BE49-F238E27FC236}">
                  <a16:creationId xmlns:a16="http://schemas.microsoft.com/office/drawing/2014/main" id="{D6C084BF-D947-CF4C-B326-28A49F59C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C4B28FC" w14:textId="34DDA171" w:rsidR="00BA3E28" w:rsidRDefault="001E7E23"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t>Σημειώνεται πως το ποσοστό νοικοκυριών με καθυστερήσεις στις υποχρεώσεις τους</w:t>
      </w:r>
      <w:r>
        <w:rPr>
          <w:rStyle w:val="FootnoteReference"/>
          <w:rFonts w:ascii="Calibri" w:hAnsi="Calibri" w:cs="Calibri"/>
          <w:sz w:val="24"/>
          <w:szCs w:val="24"/>
          <w:lang w:val="el-GR"/>
        </w:rPr>
        <w:footnoteReference w:id="3"/>
      </w:r>
      <w:r>
        <w:rPr>
          <w:rFonts w:ascii="Calibri" w:hAnsi="Calibri" w:cs="Calibri"/>
          <w:sz w:val="24"/>
          <w:szCs w:val="24"/>
          <w:lang w:val="el-GR"/>
        </w:rPr>
        <w:t xml:space="preserve"> </w:t>
      </w:r>
      <w:r w:rsidR="00D0257F">
        <w:rPr>
          <w:rFonts w:ascii="Calibri" w:hAnsi="Calibri" w:cs="Calibri"/>
          <w:sz w:val="24"/>
          <w:szCs w:val="24"/>
          <w:lang w:val="el-GR"/>
        </w:rPr>
        <w:t xml:space="preserve">είναι υψηλότερο σήμερα από τον ευρωπαϊκό μέσο όρο, αφού στην Κύπρο το ποσοστό ανέρχεται σε 14.7% σε σύγκριση με 8.6% στην ΕΕ. </w:t>
      </w:r>
      <w:r w:rsidR="00BD735A">
        <w:rPr>
          <w:rFonts w:ascii="Calibri" w:hAnsi="Calibri" w:cs="Calibri"/>
          <w:sz w:val="24"/>
          <w:szCs w:val="24"/>
          <w:lang w:val="el-GR"/>
        </w:rPr>
        <w:t>Ωστόσο, πρέπει ταυτόχρονα να σημειωθεί πως το ποσοστό αυτό καταγράφει σημαντική και σταδιακή μειωτική τάση, και βρισκόταν στο 34.2% το 2014</w:t>
      </w:r>
      <w:r w:rsidR="00BA3E28">
        <w:rPr>
          <w:rFonts w:ascii="Calibri" w:hAnsi="Calibri" w:cs="Calibri"/>
          <w:sz w:val="24"/>
          <w:szCs w:val="24"/>
          <w:lang w:val="el-GR"/>
        </w:rPr>
        <w:t xml:space="preserve">, ενώ ακόμα και πριν από την κρίση του 2013, το ποσοστό βρισκόταν υψηλά, στο 28% (2010). </w:t>
      </w:r>
      <w:r w:rsidR="008D32B3">
        <w:rPr>
          <w:rFonts w:ascii="Calibri" w:hAnsi="Calibri" w:cs="Calibri"/>
          <w:sz w:val="24"/>
          <w:szCs w:val="24"/>
          <w:lang w:val="el-GR"/>
        </w:rPr>
        <w:t>Την ίδια περίοδο, το ποσοστό στην Κύπρο ήταν υπερδιπλάσιο του μέσου όρου της ΕΕ (12.4%)</w:t>
      </w:r>
    </w:p>
    <w:p w14:paraId="60B0DF1B" w14:textId="36041BB2" w:rsidR="00BA3E28" w:rsidRPr="00492A9B" w:rsidRDefault="00BA3E28" w:rsidP="001C7377">
      <w:pPr>
        <w:tabs>
          <w:tab w:val="left" w:pos="1077"/>
        </w:tabs>
        <w:spacing w:before="160" w:after="0" w:line="264" w:lineRule="auto"/>
        <w:rPr>
          <w:rFonts w:ascii="Calibri" w:hAnsi="Calibri" w:cs="Calibri"/>
          <w:sz w:val="24"/>
          <w:szCs w:val="24"/>
          <w:lang w:val="el-GR"/>
        </w:rPr>
      </w:pPr>
      <w:r>
        <w:rPr>
          <w:rFonts w:ascii="Calibri" w:hAnsi="Calibri" w:cs="Calibri"/>
          <w:sz w:val="24"/>
          <w:szCs w:val="24"/>
          <w:lang w:val="el-GR"/>
        </w:rPr>
        <w:lastRenderedPageBreak/>
        <w:t xml:space="preserve">Ενώ, επομένως, τα ποσοστά νοικοκυριών με καθυστερήσεις στις υποχρεώσεις τους είναι υψηλά, είναι σήμερα στο 50% των επιπέδων που καταγράφονταν πριν την οικονομική κρίση του 2013, με την πτωτική τάση να συνεχίζεται. </w:t>
      </w:r>
    </w:p>
    <w:p w14:paraId="63C43F7D" w14:textId="6ACC6258" w:rsidR="00092CD7" w:rsidRPr="006A6415" w:rsidRDefault="00876189" w:rsidP="006A6415">
      <w:pPr>
        <w:pStyle w:val="ListParagraph"/>
        <w:numPr>
          <w:ilvl w:val="0"/>
          <w:numId w:val="41"/>
        </w:numPr>
        <w:tabs>
          <w:tab w:val="left" w:pos="1077"/>
        </w:tabs>
        <w:spacing w:before="160" w:after="0" w:line="264" w:lineRule="auto"/>
        <w:rPr>
          <w:rFonts w:ascii="Calibri" w:hAnsi="Calibri" w:cs="Calibri"/>
          <w:b/>
          <w:bCs/>
          <w:sz w:val="24"/>
          <w:szCs w:val="24"/>
          <w:lang w:val="el-GR"/>
        </w:rPr>
      </w:pPr>
      <w:r w:rsidRPr="006A6415">
        <w:rPr>
          <w:rFonts w:ascii="Calibri" w:hAnsi="Calibri" w:cs="Calibri"/>
          <w:b/>
          <w:bCs/>
          <w:sz w:val="24"/>
          <w:szCs w:val="24"/>
          <w:lang w:val="el-GR"/>
        </w:rPr>
        <w:t xml:space="preserve">Τα στοιχεία αυτά είναι συνοπτικά και συλλογικά και δεν αντικατοπτρίζουν στρεβλώσεις και </w:t>
      </w:r>
      <w:r w:rsidR="00492A9B" w:rsidRPr="006A6415">
        <w:rPr>
          <w:rFonts w:ascii="Calibri" w:hAnsi="Calibri" w:cs="Calibri"/>
          <w:b/>
          <w:bCs/>
          <w:sz w:val="24"/>
          <w:szCs w:val="24"/>
          <w:lang w:val="el-GR"/>
        </w:rPr>
        <w:t xml:space="preserve">πιθανές </w:t>
      </w:r>
      <w:r w:rsidRPr="006A6415">
        <w:rPr>
          <w:rFonts w:ascii="Calibri" w:hAnsi="Calibri" w:cs="Calibri"/>
          <w:b/>
          <w:bCs/>
          <w:sz w:val="24"/>
          <w:szCs w:val="24"/>
          <w:lang w:val="el-GR"/>
        </w:rPr>
        <w:t xml:space="preserve">ανισότητες στην κατανομή εισοδημάτων, χρεών και πλούτου. Η εικόνα που καταγράφεται μεταφράζεται σε μακροσκοπική υγεία και αντοχές, αλλά επί μέρους δυσχέρεια και κοινωνικά προβλήματα παραμένουν προς αντιμετώπιση, με ορισμένες στρεβλώσεις να έχουν ευρύτερες προεκτάσεις. </w:t>
      </w:r>
    </w:p>
    <w:p w14:paraId="41737893" w14:textId="76C7A2FA" w:rsidR="00876189" w:rsidRPr="006A6415" w:rsidRDefault="00876189" w:rsidP="006A6415">
      <w:pPr>
        <w:pStyle w:val="ListParagraph"/>
        <w:numPr>
          <w:ilvl w:val="0"/>
          <w:numId w:val="41"/>
        </w:numPr>
        <w:tabs>
          <w:tab w:val="left" w:pos="1077"/>
        </w:tabs>
        <w:spacing w:before="160" w:after="0" w:line="264" w:lineRule="auto"/>
        <w:rPr>
          <w:rFonts w:ascii="Calibri" w:hAnsi="Calibri" w:cs="Calibri"/>
          <w:b/>
          <w:bCs/>
          <w:sz w:val="24"/>
          <w:szCs w:val="24"/>
          <w:lang w:val="el-GR"/>
        </w:rPr>
      </w:pPr>
      <w:r w:rsidRPr="006A6415">
        <w:rPr>
          <w:rFonts w:ascii="Calibri" w:hAnsi="Calibri" w:cs="Calibri"/>
          <w:b/>
          <w:bCs/>
          <w:sz w:val="24"/>
          <w:szCs w:val="24"/>
          <w:lang w:val="el-GR"/>
        </w:rPr>
        <w:t xml:space="preserve">Ωστόσο, η μακροσκοπική εικόνα της Κύπρου παραμένει εύρωστη και, αν αντιμετωπιστεί η αφύσικη αύξηση της συνολικής ζήτησης για επενδύσεις σε ακίνητα, θα είναι ανθεκτική στο μέλλον. </w:t>
      </w:r>
    </w:p>
    <w:p w14:paraId="6F645BD8" w14:textId="77777777"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27CCBA07" w14:textId="77777777"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2759BBEF" w14:textId="77777777"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27316F8D" w14:textId="388B9146" w:rsidR="00705349" w:rsidRDefault="00705349" w:rsidP="001C7377">
      <w:pPr>
        <w:tabs>
          <w:tab w:val="left" w:pos="1077"/>
        </w:tabs>
        <w:spacing w:before="160" w:after="0" w:line="264" w:lineRule="auto"/>
        <w:rPr>
          <w:rFonts w:ascii="Calibri" w:hAnsi="Calibri" w:cs="Calibri"/>
          <w:b/>
          <w:bCs/>
          <w:sz w:val="24"/>
          <w:szCs w:val="24"/>
          <w:u w:val="single"/>
          <w:lang w:val="el-GR"/>
        </w:rPr>
      </w:pPr>
      <w:r>
        <w:rPr>
          <w:noProof/>
        </w:rPr>
        <w:drawing>
          <wp:inline distT="0" distB="0" distL="0" distR="0" wp14:anchorId="35992185" wp14:editId="677AAB36">
            <wp:extent cx="5935980" cy="3869690"/>
            <wp:effectExtent l="0" t="0" r="7620" b="16510"/>
            <wp:docPr id="2" name="Chart 2">
              <a:extLst xmlns:a="http://schemas.openxmlformats.org/drawingml/2006/main">
                <a:ext uri="{FF2B5EF4-FFF2-40B4-BE49-F238E27FC236}">
                  <a16:creationId xmlns:a16="http://schemas.microsoft.com/office/drawing/2014/main" id="{2FCAC5AE-8206-374D-ACA7-064C2697F3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D50EEEA" w14:textId="0901EF2A"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2A40C9DE" w14:textId="128D188D"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49F396F7" w14:textId="20F34EFC"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3129D770" w14:textId="2D3ABEE0" w:rsidR="00876189" w:rsidRDefault="00876189" w:rsidP="001C7377">
      <w:pPr>
        <w:tabs>
          <w:tab w:val="left" w:pos="1077"/>
        </w:tabs>
        <w:spacing w:before="160" w:after="0" w:line="264" w:lineRule="auto"/>
        <w:rPr>
          <w:rFonts w:ascii="Calibri" w:hAnsi="Calibri" w:cs="Calibri"/>
          <w:b/>
          <w:bCs/>
          <w:sz w:val="24"/>
          <w:szCs w:val="24"/>
          <w:u w:val="single"/>
          <w:lang w:val="el-GR"/>
        </w:rPr>
      </w:pPr>
    </w:p>
    <w:p w14:paraId="2C9C4277" w14:textId="12A89C4A" w:rsidR="00876189" w:rsidRDefault="00876189" w:rsidP="00876189">
      <w:pPr>
        <w:pStyle w:val="ListParagraph"/>
        <w:numPr>
          <w:ilvl w:val="0"/>
          <w:numId w:val="39"/>
        </w:numPr>
        <w:tabs>
          <w:tab w:val="left" w:pos="1077"/>
        </w:tabs>
        <w:spacing w:before="160" w:after="0" w:line="264" w:lineRule="auto"/>
        <w:rPr>
          <w:rFonts w:ascii="Calibri" w:hAnsi="Calibri" w:cs="Calibri"/>
          <w:b/>
          <w:bCs/>
          <w:sz w:val="24"/>
          <w:szCs w:val="24"/>
          <w:u w:val="single"/>
          <w:lang w:val="el-GR"/>
        </w:rPr>
      </w:pPr>
      <w:r>
        <w:rPr>
          <w:rFonts w:ascii="Calibri" w:hAnsi="Calibri" w:cs="Calibri"/>
          <w:b/>
          <w:bCs/>
          <w:sz w:val="24"/>
          <w:szCs w:val="24"/>
          <w:u w:val="single"/>
          <w:lang w:val="el-GR"/>
        </w:rPr>
        <w:lastRenderedPageBreak/>
        <w:t>Συνοπτικά Συμπεράσματα</w:t>
      </w:r>
    </w:p>
    <w:p w14:paraId="5025BD8B" w14:textId="48BF3165" w:rsidR="00492A9B" w:rsidRDefault="00492A9B" w:rsidP="00876189">
      <w:pPr>
        <w:tabs>
          <w:tab w:val="left" w:pos="1077"/>
        </w:tabs>
        <w:spacing w:before="160" w:after="0" w:line="264" w:lineRule="auto"/>
        <w:ind w:left="360"/>
        <w:rPr>
          <w:rFonts w:ascii="Calibri" w:hAnsi="Calibri" w:cs="Calibri"/>
          <w:sz w:val="24"/>
          <w:szCs w:val="24"/>
          <w:lang w:val="el-GR"/>
        </w:rPr>
      </w:pPr>
      <w:r>
        <w:rPr>
          <w:rFonts w:ascii="Calibri" w:hAnsi="Calibri" w:cs="Calibri"/>
          <w:sz w:val="24"/>
          <w:szCs w:val="24"/>
          <w:lang w:val="el-GR"/>
        </w:rPr>
        <w:t xml:space="preserve">Η εικόνα στην Κύπρο καταδεικνύει κάποιες στρεβλώσεις και ανεπάρκειες που πρέπει να αντιμετωπιστούν. Ωστόσο, τα κοινωνικά ζητήματα που διαφαίνονται χρίζουν μεν αντιμετώπισης αλλά είναι πολύ πιο ήπια από  ό,τι στην υπόλοιπη ΕΕ. </w:t>
      </w:r>
    </w:p>
    <w:p w14:paraId="3229E85C" w14:textId="0CC3D742" w:rsidR="00492A9B" w:rsidRDefault="00876189" w:rsidP="00876189">
      <w:pPr>
        <w:tabs>
          <w:tab w:val="left" w:pos="1077"/>
        </w:tabs>
        <w:spacing w:before="160" w:after="0" w:line="264" w:lineRule="auto"/>
        <w:ind w:left="360"/>
        <w:rPr>
          <w:rFonts w:ascii="Calibri" w:hAnsi="Calibri" w:cs="Calibri"/>
          <w:sz w:val="24"/>
          <w:szCs w:val="24"/>
          <w:lang w:val="el-GR"/>
        </w:rPr>
      </w:pPr>
      <w:r w:rsidRPr="00876189">
        <w:rPr>
          <w:rFonts w:ascii="Calibri" w:hAnsi="Calibri" w:cs="Calibri"/>
          <w:sz w:val="24"/>
          <w:szCs w:val="24"/>
          <w:lang w:val="el-GR"/>
        </w:rPr>
        <w:t xml:space="preserve">Τα στοιχεία επί μέρους ζητημάτων ποιότητας, όπως το κόστος θέρμανσης (και πιθανών ψύξης), καθώς και φαινόμενα όπως τις ανεπαρκείς υγρομονώσεις, αποτελούν μια σημαντική προειδοποίηση για την όλο και αυξανόμενη ανάγκη υιοθέτησης περιβαλλοντικών προαπαιτήσεων στην ανάπτυξη καταλυμάτων. </w:t>
      </w:r>
    </w:p>
    <w:p w14:paraId="62070AE3" w14:textId="201EEA50" w:rsidR="00876189" w:rsidRDefault="00876189" w:rsidP="00876189">
      <w:pPr>
        <w:tabs>
          <w:tab w:val="left" w:pos="1077"/>
        </w:tabs>
        <w:spacing w:before="160" w:after="0" w:line="264" w:lineRule="auto"/>
        <w:ind w:left="360"/>
        <w:rPr>
          <w:rFonts w:ascii="Calibri" w:hAnsi="Calibri" w:cs="Calibri"/>
          <w:sz w:val="24"/>
          <w:szCs w:val="24"/>
          <w:lang w:val="el-GR"/>
        </w:rPr>
      </w:pPr>
      <w:r w:rsidRPr="00876189">
        <w:rPr>
          <w:rFonts w:ascii="Calibri" w:hAnsi="Calibri" w:cs="Calibri"/>
          <w:sz w:val="24"/>
          <w:szCs w:val="24"/>
          <w:lang w:val="el-GR"/>
        </w:rPr>
        <w:t xml:space="preserve">Ακόμα πιο σημαντικό είναι το γεγονός ότι η στροφή προς την ανακαίνιση, την βελτίωση και την ενίσχυση των υφιστάμενων καταλυμάτων θα είναι εξαιρετικά σημαντική, τόσο σε περιβαλλοντικό όσο και σε κοινωνικό επίπεδο, καθώς η προσφορά σταδιακά υπερβαίνει την ζήτηση, με μακροοικονομικές, δημοσιονομικές και πολιτικές προεκτάσεις. Ο πειρασμός να υιοθετηθούν νέα μέτρα τόνωσης της προσφοράς, καθώς και μέτρα παροδικής αύξησης της ζήτησης, πρέπει να αποφευχθεί. </w:t>
      </w:r>
    </w:p>
    <w:p w14:paraId="5D0FB17D" w14:textId="3E18EB9E" w:rsidR="0079757D" w:rsidRDefault="0079757D" w:rsidP="00876189">
      <w:pPr>
        <w:tabs>
          <w:tab w:val="left" w:pos="1077"/>
        </w:tabs>
        <w:spacing w:before="160" w:after="0" w:line="264" w:lineRule="auto"/>
        <w:ind w:left="360"/>
        <w:rPr>
          <w:rFonts w:ascii="Calibri" w:hAnsi="Calibri" w:cs="Calibri"/>
          <w:sz w:val="24"/>
          <w:szCs w:val="24"/>
          <w:lang w:val="el-GR"/>
        </w:rPr>
      </w:pPr>
    </w:p>
    <w:p w14:paraId="5D13D2C1" w14:textId="1AB525C9" w:rsidR="0079757D" w:rsidRPr="006A6415" w:rsidRDefault="0079757D" w:rsidP="006A6415">
      <w:pPr>
        <w:pStyle w:val="ListParagraph"/>
        <w:numPr>
          <w:ilvl w:val="0"/>
          <w:numId w:val="40"/>
        </w:numPr>
        <w:tabs>
          <w:tab w:val="left" w:pos="1077"/>
        </w:tabs>
        <w:spacing w:before="160" w:after="0" w:line="264" w:lineRule="auto"/>
        <w:rPr>
          <w:rFonts w:ascii="Calibri" w:hAnsi="Calibri" w:cs="Calibri"/>
          <w:b/>
          <w:bCs/>
          <w:sz w:val="24"/>
          <w:szCs w:val="24"/>
          <w:lang w:val="el-GR"/>
        </w:rPr>
      </w:pPr>
      <w:r w:rsidRPr="006A6415">
        <w:rPr>
          <w:rFonts w:ascii="Calibri" w:hAnsi="Calibri" w:cs="Calibri"/>
          <w:b/>
          <w:bCs/>
          <w:sz w:val="24"/>
          <w:szCs w:val="24"/>
          <w:lang w:val="el-GR"/>
        </w:rPr>
        <w:t xml:space="preserve">Υφίστανται κοινωνικά ζητήματα, ιδίως στα αστικά κέντρα, τα οποία χρίζουν αντιμετώπισης, αν και η εικόνα της Κύπρου είναι καλύτερη από τους μέσους όρους της ΕΕ. </w:t>
      </w:r>
    </w:p>
    <w:p w14:paraId="2819EF41" w14:textId="28FEF279" w:rsidR="0079757D" w:rsidRPr="006A6415" w:rsidRDefault="0079757D" w:rsidP="006A6415">
      <w:pPr>
        <w:pStyle w:val="ListParagraph"/>
        <w:numPr>
          <w:ilvl w:val="0"/>
          <w:numId w:val="40"/>
        </w:numPr>
        <w:tabs>
          <w:tab w:val="left" w:pos="1077"/>
        </w:tabs>
        <w:spacing w:before="160" w:after="0" w:line="264" w:lineRule="auto"/>
        <w:rPr>
          <w:rFonts w:ascii="Calibri" w:hAnsi="Calibri" w:cs="Calibri"/>
          <w:b/>
          <w:bCs/>
          <w:sz w:val="24"/>
          <w:szCs w:val="24"/>
          <w:lang w:val="el-GR"/>
        </w:rPr>
      </w:pPr>
      <w:r w:rsidRPr="006A6415">
        <w:rPr>
          <w:rFonts w:ascii="Calibri" w:hAnsi="Calibri" w:cs="Calibri"/>
          <w:b/>
          <w:bCs/>
          <w:sz w:val="24"/>
          <w:szCs w:val="24"/>
          <w:lang w:val="el-GR"/>
        </w:rPr>
        <w:t xml:space="preserve">Καταγράφεται αφύσικα υψηλή ζήτηση, η οποία πολύ πιθανών να μην είναι βιώσιμη, η οποία σπρώχνει την προσφορά σε αύξηση παραγωγής, αλλά και αυξητικές τάσεις στις τιμές. Πέρα από ζητήματα βιωσιμότητας, αυτή η εικόνα μεταφράζεται σε δυνητικές πιέσεις, ιδίως σε νεαρά ζευγάρια. </w:t>
      </w:r>
    </w:p>
    <w:p w14:paraId="5B1725F2" w14:textId="5ED837D7" w:rsidR="0079757D" w:rsidRDefault="0079757D" w:rsidP="006A6415">
      <w:pPr>
        <w:pStyle w:val="ListParagraph"/>
        <w:numPr>
          <w:ilvl w:val="0"/>
          <w:numId w:val="40"/>
        </w:numPr>
        <w:tabs>
          <w:tab w:val="left" w:pos="1077"/>
        </w:tabs>
        <w:spacing w:before="160" w:after="0" w:line="264" w:lineRule="auto"/>
        <w:rPr>
          <w:rFonts w:ascii="Calibri" w:hAnsi="Calibri" w:cs="Calibri"/>
          <w:b/>
          <w:bCs/>
          <w:sz w:val="24"/>
          <w:szCs w:val="24"/>
          <w:lang w:val="el-GR"/>
        </w:rPr>
      </w:pPr>
      <w:r w:rsidRPr="006A6415">
        <w:rPr>
          <w:rFonts w:ascii="Calibri" w:hAnsi="Calibri" w:cs="Calibri"/>
          <w:b/>
          <w:bCs/>
          <w:sz w:val="24"/>
          <w:szCs w:val="24"/>
          <w:lang w:val="el-GR"/>
        </w:rPr>
        <w:t xml:space="preserve">Κρατικές πολιτικές πρέπει να στραφούν προς την ποιοτική αναβάθμιση των υφιστάμενων καταλυμάτων, ιδίως όσον αφορά στην περιβαλλοντική τους απόδοση. Πρέπει να αναμένεται πως το συνολικό οικιστικό κόστος των νοικοκυριών, αν και σήμερα χαμηλό, θα αυξηθεί ουσιαστικά, με τις πιέσεις να έχουν ήδη αρχίσει να διαφαίνονται. </w:t>
      </w:r>
    </w:p>
    <w:p w14:paraId="27E32D3E" w14:textId="1563A4F0" w:rsidR="006A6415" w:rsidRDefault="006A6415" w:rsidP="006A6415">
      <w:pPr>
        <w:pStyle w:val="ListParagraph"/>
        <w:numPr>
          <w:ilvl w:val="0"/>
          <w:numId w:val="40"/>
        </w:numPr>
        <w:tabs>
          <w:tab w:val="left" w:pos="1077"/>
        </w:tabs>
        <w:spacing w:before="160" w:after="0" w:line="264" w:lineRule="auto"/>
        <w:rPr>
          <w:rFonts w:ascii="Calibri" w:hAnsi="Calibri" w:cs="Calibri"/>
          <w:b/>
          <w:bCs/>
          <w:sz w:val="24"/>
          <w:szCs w:val="24"/>
          <w:lang w:val="el-GR"/>
        </w:rPr>
      </w:pPr>
      <w:r>
        <w:rPr>
          <w:rFonts w:ascii="Calibri" w:hAnsi="Calibri" w:cs="Calibri"/>
          <w:b/>
          <w:bCs/>
          <w:sz w:val="24"/>
          <w:szCs w:val="24"/>
          <w:lang w:val="el-GR"/>
        </w:rPr>
        <w:t xml:space="preserve">Η ευρύτερη πολιτική στροφής προς την αναβάθμιση, περιβαλλοντική βελτιστοποίηση και ανακαίνιση, πρέπει να αποτελέσει προτεραιότητα όσον αφορά στην Στεγαστική Πολιτική και την Πολιτική Ανάπτυξης της Δημοκρατίας. Η συνεχιζόμενη εστίαση στην αύξηση της προσφοράς δείχνει σημάδια απώλειας ανθεκτικότητας και βιωσιμότητας. </w:t>
      </w:r>
    </w:p>
    <w:p w14:paraId="2F3E5FB6" w14:textId="4259BAFC" w:rsidR="001100EF" w:rsidRDefault="001100EF" w:rsidP="001100EF">
      <w:pPr>
        <w:pStyle w:val="ListParagraph"/>
        <w:numPr>
          <w:ilvl w:val="0"/>
          <w:numId w:val="40"/>
        </w:numPr>
        <w:tabs>
          <w:tab w:val="left" w:pos="1077"/>
        </w:tabs>
        <w:spacing w:before="160" w:after="0" w:line="264" w:lineRule="auto"/>
        <w:rPr>
          <w:rFonts w:ascii="Calibri" w:hAnsi="Calibri" w:cs="Calibri"/>
          <w:b/>
          <w:bCs/>
          <w:sz w:val="24"/>
          <w:szCs w:val="24"/>
          <w:lang w:val="el-GR"/>
        </w:rPr>
      </w:pPr>
      <w:r>
        <w:rPr>
          <w:rFonts w:ascii="Calibri" w:hAnsi="Calibri" w:cs="Calibri"/>
          <w:b/>
          <w:bCs/>
          <w:sz w:val="24"/>
          <w:szCs w:val="24"/>
          <w:lang w:val="el-GR"/>
        </w:rPr>
        <w:t xml:space="preserve">Εξαιρετικής σημασίας θα είναι η </w:t>
      </w:r>
      <w:r w:rsidRPr="00FB1A60">
        <w:rPr>
          <w:rFonts w:ascii="Calibri" w:hAnsi="Calibri" w:cs="Calibri"/>
          <w:b/>
          <w:bCs/>
          <w:sz w:val="24"/>
          <w:szCs w:val="24"/>
          <w:lang w:val="el-GR"/>
        </w:rPr>
        <w:t xml:space="preserve"> ενίσχυση της </w:t>
      </w:r>
      <w:r>
        <w:rPr>
          <w:rFonts w:ascii="Calibri" w:hAnsi="Calibri" w:cs="Calibri"/>
          <w:b/>
          <w:bCs/>
          <w:sz w:val="24"/>
          <w:szCs w:val="24"/>
          <w:lang w:val="el-GR"/>
        </w:rPr>
        <w:t>αγοράς προς όφελος των</w:t>
      </w:r>
      <w:r w:rsidRPr="00FB1A60">
        <w:rPr>
          <w:rFonts w:ascii="Calibri" w:hAnsi="Calibri" w:cs="Calibri"/>
          <w:b/>
          <w:bCs/>
          <w:sz w:val="24"/>
          <w:szCs w:val="24"/>
          <w:lang w:val="el-GR"/>
        </w:rPr>
        <w:t xml:space="preserve"> μεσαίου μεγέθους επενδύσεις στην πραγματική οικονομία. Πολιτικές κινήτρων και ενθάρρυνσης θεσμοθετημένων λύσεων πρέπει πλέον να θεωρούνται σοβαρή ανάγκη για την στήριξη της ανάπτυξης και της βιωσιμότητας στην Κύπρο. </w:t>
      </w:r>
    </w:p>
    <w:p w14:paraId="35B4807B" w14:textId="5DD82085" w:rsidR="001100EF" w:rsidRPr="005A486E" w:rsidRDefault="001100EF" w:rsidP="001100EF">
      <w:pPr>
        <w:pStyle w:val="ListParagraph"/>
        <w:tabs>
          <w:tab w:val="left" w:pos="1077"/>
        </w:tabs>
        <w:spacing w:before="160" w:after="0" w:line="264" w:lineRule="auto"/>
        <w:ind w:left="1080"/>
        <w:rPr>
          <w:rFonts w:ascii="Calibri" w:hAnsi="Calibri" w:cs="Calibri"/>
          <w:b/>
          <w:bCs/>
          <w:sz w:val="24"/>
          <w:szCs w:val="24"/>
          <w:lang w:val="el-GR"/>
        </w:rPr>
      </w:pPr>
    </w:p>
    <w:bookmarkEnd w:id="0"/>
    <w:bookmarkEnd w:id="1"/>
    <w:p w14:paraId="41B97363" w14:textId="77777777" w:rsidR="00876189" w:rsidRPr="006A6415" w:rsidRDefault="00876189" w:rsidP="001C7377">
      <w:pPr>
        <w:tabs>
          <w:tab w:val="left" w:pos="1077"/>
        </w:tabs>
        <w:spacing w:before="160" w:after="0" w:line="264" w:lineRule="auto"/>
        <w:rPr>
          <w:rFonts w:ascii="Calibri" w:hAnsi="Calibri" w:cs="Calibri"/>
          <w:b/>
          <w:bCs/>
          <w:sz w:val="24"/>
          <w:szCs w:val="24"/>
          <w:lang w:val="el-GR"/>
        </w:rPr>
      </w:pPr>
    </w:p>
    <w:sectPr w:rsidR="00876189" w:rsidRPr="006A6415" w:rsidSect="00AB540F">
      <w:headerReference w:type="even" r:id="rId11"/>
      <w:headerReference w:type="default" r:id="rId12"/>
      <w:footerReference w:type="even" r:id="rId13"/>
      <w:footerReference w:type="default" r:id="rId14"/>
      <w:headerReference w:type="first" r:id="rId15"/>
      <w:footerReference w:type="first" r:id="rId16"/>
      <w:pgSz w:w="11900" w:h="16820"/>
      <w:pgMar w:top="1985" w:right="1134" w:bottom="1134" w:left="1418"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74DD1" w14:textId="77777777" w:rsidR="008A3B23" w:rsidRDefault="008A3B23" w:rsidP="00EC4C6D">
      <w:pPr>
        <w:spacing w:after="0" w:line="240" w:lineRule="auto"/>
      </w:pPr>
      <w:r>
        <w:separator/>
      </w:r>
    </w:p>
  </w:endnote>
  <w:endnote w:type="continuationSeparator" w:id="0">
    <w:p w14:paraId="5337229E" w14:textId="77777777" w:rsidR="008A3B23" w:rsidRDefault="008A3B23" w:rsidP="00EC4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w Cen MT Condensed">
    <w:panose1 w:val="020B0606020104020203"/>
    <w:charset w:val="4D"/>
    <w:family w:val="swiss"/>
    <w:pitch w:val="variable"/>
    <w:sig w:usb0="00000003" w:usb1="00000000" w:usb2="00000000" w:usb3="00000000" w:csb0="00000003" w:csb1="00000000"/>
  </w:font>
  <w:font w:name="Tw Cen MT">
    <w:panose1 w:val="020B0602020104020603"/>
    <w:charset w:val="00"/>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919875"/>
      <w:docPartObj>
        <w:docPartGallery w:val="Page Numbers (Bottom of Page)"/>
        <w:docPartUnique/>
      </w:docPartObj>
    </w:sdtPr>
    <w:sdtEndPr>
      <w:rPr>
        <w:rStyle w:val="PageNumber"/>
      </w:rPr>
    </w:sdtEndPr>
    <w:sdtContent>
      <w:p w14:paraId="65EB71A6" w14:textId="3E740583" w:rsidR="00EC4C6D" w:rsidRDefault="00EC4C6D" w:rsidP="00F80B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3F429E" w14:textId="77777777" w:rsidR="00EC4C6D" w:rsidRDefault="00EC4C6D" w:rsidP="00EC4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sz w:val="20"/>
        <w:szCs w:val="20"/>
      </w:rPr>
      <w:id w:val="-1376377227"/>
      <w:docPartObj>
        <w:docPartGallery w:val="Page Numbers (Bottom of Page)"/>
        <w:docPartUnique/>
      </w:docPartObj>
    </w:sdtPr>
    <w:sdtEndPr>
      <w:rPr>
        <w:rStyle w:val="PageNumber"/>
      </w:rPr>
    </w:sdtEndPr>
    <w:sdtContent>
      <w:p w14:paraId="4D426ACF" w14:textId="5ED094E7" w:rsidR="00EC4C6D" w:rsidRPr="001A20D7" w:rsidRDefault="00EC4C6D" w:rsidP="001A20D7">
        <w:pPr>
          <w:pStyle w:val="Footer"/>
          <w:framePr w:wrap="none" w:vAnchor="text" w:hAnchor="margin" w:xAlign="right" w:y="1"/>
          <w:spacing w:before="160" w:after="0" w:line="264" w:lineRule="auto"/>
          <w:rPr>
            <w:rStyle w:val="PageNumber"/>
            <w:rFonts w:ascii="Calibri" w:hAnsi="Calibri" w:cs="Calibri"/>
            <w:sz w:val="20"/>
            <w:szCs w:val="20"/>
          </w:rPr>
        </w:pPr>
        <w:r w:rsidRPr="001A20D7">
          <w:rPr>
            <w:rStyle w:val="PageNumber"/>
            <w:rFonts w:ascii="Calibri" w:hAnsi="Calibri" w:cs="Calibri"/>
            <w:sz w:val="20"/>
            <w:szCs w:val="20"/>
          </w:rPr>
          <w:fldChar w:fldCharType="begin"/>
        </w:r>
        <w:r w:rsidRPr="001A20D7">
          <w:rPr>
            <w:rStyle w:val="PageNumber"/>
            <w:rFonts w:ascii="Calibri" w:hAnsi="Calibri" w:cs="Calibri"/>
            <w:sz w:val="20"/>
            <w:szCs w:val="20"/>
          </w:rPr>
          <w:instrText xml:space="preserve"> PAGE </w:instrText>
        </w:r>
        <w:r w:rsidRPr="001A20D7">
          <w:rPr>
            <w:rStyle w:val="PageNumber"/>
            <w:rFonts w:ascii="Calibri" w:hAnsi="Calibri" w:cs="Calibri"/>
            <w:sz w:val="20"/>
            <w:szCs w:val="20"/>
          </w:rPr>
          <w:fldChar w:fldCharType="separate"/>
        </w:r>
        <w:r w:rsidRPr="001A20D7">
          <w:rPr>
            <w:rStyle w:val="PageNumber"/>
            <w:rFonts w:ascii="Calibri" w:hAnsi="Calibri" w:cs="Calibri"/>
            <w:noProof/>
            <w:sz w:val="20"/>
            <w:szCs w:val="20"/>
          </w:rPr>
          <w:t>1</w:t>
        </w:r>
        <w:r w:rsidRPr="001A20D7">
          <w:rPr>
            <w:rStyle w:val="PageNumber"/>
            <w:rFonts w:ascii="Calibri" w:hAnsi="Calibri" w:cs="Calibri"/>
            <w:sz w:val="20"/>
            <w:szCs w:val="20"/>
          </w:rPr>
          <w:fldChar w:fldCharType="end"/>
        </w:r>
      </w:p>
    </w:sdtContent>
  </w:sdt>
  <w:p w14:paraId="559B98D1" w14:textId="77777777" w:rsidR="00EC4C6D" w:rsidRPr="001A20D7" w:rsidRDefault="00EC4C6D" w:rsidP="001A20D7">
    <w:pPr>
      <w:pStyle w:val="Footer"/>
      <w:spacing w:before="160" w:after="0" w:line="264" w:lineRule="auto"/>
      <w:ind w:right="360"/>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E37B" w14:textId="77777777" w:rsidR="009E0D23" w:rsidRDefault="009E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0E2A" w14:textId="77777777" w:rsidR="008A3B23" w:rsidRDefault="008A3B23" w:rsidP="00EC4C6D">
      <w:pPr>
        <w:spacing w:after="0" w:line="240" w:lineRule="auto"/>
      </w:pPr>
      <w:r>
        <w:separator/>
      </w:r>
    </w:p>
  </w:footnote>
  <w:footnote w:type="continuationSeparator" w:id="0">
    <w:p w14:paraId="34CAEC45" w14:textId="77777777" w:rsidR="008A3B23" w:rsidRDefault="008A3B23" w:rsidP="00EC4C6D">
      <w:pPr>
        <w:spacing w:after="0" w:line="240" w:lineRule="auto"/>
      </w:pPr>
      <w:r>
        <w:continuationSeparator/>
      </w:r>
    </w:p>
  </w:footnote>
  <w:footnote w:id="1">
    <w:p w14:paraId="6A00AD7F" w14:textId="3EB44385" w:rsidR="002A223D" w:rsidRPr="002A223D" w:rsidRDefault="002A223D">
      <w:pPr>
        <w:pStyle w:val="FootnoteText"/>
        <w:rPr>
          <w:rFonts w:ascii="Calibri" w:hAnsi="Calibri" w:cs="Calibri"/>
          <w:lang w:val="el-GR"/>
        </w:rPr>
      </w:pPr>
      <w:r>
        <w:rPr>
          <w:rStyle w:val="FootnoteReference"/>
        </w:rPr>
        <w:footnoteRef/>
      </w:r>
      <w:r>
        <w:t xml:space="preserve"> </w:t>
      </w:r>
      <w:r>
        <w:rPr>
          <w:rFonts w:ascii="Calibri" w:hAnsi="Calibri" w:cs="Calibri"/>
          <w:lang w:val="el-GR"/>
        </w:rPr>
        <w:t>Το κόστος παραγωγής και γενικότερα η προσφορά καλύπτεται σε ξεχωριστό Συνοπτικό Σημείωμα</w:t>
      </w:r>
    </w:p>
  </w:footnote>
  <w:footnote w:id="2">
    <w:p w14:paraId="7441F3AB" w14:textId="1F99B879" w:rsidR="00E37134" w:rsidRPr="00E37134" w:rsidRDefault="00E37134">
      <w:pPr>
        <w:pStyle w:val="FootnoteText"/>
        <w:rPr>
          <w:rFonts w:ascii="Calibri" w:hAnsi="Calibri" w:cs="Calibri"/>
          <w:lang w:val="el-GR"/>
        </w:rPr>
      </w:pPr>
      <w:r>
        <w:rPr>
          <w:rStyle w:val="FootnoteReference"/>
        </w:rPr>
        <w:footnoteRef/>
      </w:r>
      <w:r>
        <w:t xml:space="preserve"> </w:t>
      </w:r>
      <w:r>
        <w:rPr>
          <w:rFonts w:ascii="Calibri" w:hAnsi="Calibri" w:cs="Calibri"/>
          <w:lang w:val="el-GR"/>
        </w:rPr>
        <w:t>Με εισόδημα κάτω του 60% του Εθνικού Διάμεσου</w:t>
      </w:r>
    </w:p>
  </w:footnote>
  <w:footnote w:id="3">
    <w:p w14:paraId="19B64F88" w14:textId="407D7630" w:rsidR="001E7E23" w:rsidRPr="00C46331" w:rsidRDefault="001E7E23">
      <w:pPr>
        <w:pStyle w:val="FootnoteText"/>
        <w:rPr>
          <w:rFonts w:ascii="Calibri" w:hAnsi="Calibri" w:cs="Calibri"/>
          <w:lang w:val="el-GR"/>
        </w:rPr>
      </w:pPr>
      <w:r>
        <w:rPr>
          <w:rStyle w:val="FootnoteReference"/>
        </w:rPr>
        <w:footnoteRef/>
      </w:r>
      <w:r>
        <w:t xml:space="preserve"> </w:t>
      </w:r>
      <w:r w:rsidR="00C46331">
        <w:rPr>
          <w:rFonts w:ascii="Calibri" w:hAnsi="Calibri" w:cs="Calibri"/>
          <w:lang w:val="el-GR"/>
        </w:rPr>
        <w:t xml:space="preserve">Υποθήκη/δάνειο, λογαριασμούς ρεύματος, νερού </w:t>
      </w:r>
      <w:proofErr w:type="spellStart"/>
      <w:r w:rsidR="00C46331">
        <w:rPr>
          <w:rFonts w:ascii="Calibri" w:hAnsi="Calibri" w:cs="Calibri"/>
          <w:lang w:val="el-GR"/>
        </w:rPr>
        <w:t>κτλ</w:t>
      </w:r>
      <w:proofErr w:type="spellEnd"/>
      <w:r w:rsidR="00C46331">
        <w:rPr>
          <w:rFonts w:ascii="Calibri" w:hAnsi="Calibri" w:cs="Calibri"/>
          <w:lang w:val="el-GR"/>
        </w:rPr>
        <w:t>, ή ενοίκιο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0D4" w14:textId="69326136" w:rsidR="009E0D23" w:rsidRDefault="009E0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1806" w14:textId="4CC847A2" w:rsidR="001A20D7" w:rsidRDefault="00F77C88" w:rsidP="00875C47">
    <w:pPr>
      <w:pStyle w:val="Header"/>
      <w:jc w:val="center"/>
    </w:pPr>
    <w:r>
      <w:rPr>
        <w:noProof/>
      </w:rPr>
      <w:drawing>
        <wp:inline distT="0" distB="0" distL="0" distR="0" wp14:anchorId="5CFD05C2" wp14:editId="25459DC4">
          <wp:extent cx="1045850" cy="827429"/>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79056" cy="8537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5E7B" w14:textId="172E6055" w:rsidR="009E0D23" w:rsidRDefault="009E0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22ED50"/>
    <w:lvl w:ilvl="0">
      <w:start w:val="1"/>
      <w:numFmt w:val="decimal"/>
      <w:lvlText w:val="%1."/>
      <w:lvlJc w:val="left"/>
      <w:pPr>
        <w:tabs>
          <w:tab w:val="num" w:pos="1800"/>
        </w:tabs>
        <w:ind w:left="1800" w:hanging="360"/>
      </w:pPr>
    </w:lvl>
  </w:abstractNum>
  <w:abstractNum w:abstractNumId="1" w15:restartNumberingAfterBreak="0">
    <w:nsid w:val="00BA7E5F"/>
    <w:multiLevelType w:val="multilevel"/>
    <w:tmpl w:val="B2E8216A"/>
    <w:lvl w:ilvl="0">
      <w:start w:val="1"/>
      <w:numFmt w:val="decimal"/>
      <w:lvlText w:val="%1."/>
      <w:lvlJc w:val="left"/>
      <w:pPr>
        <w:ind w:left="360" w:hanging="360"/>
      </w:pPr>
      <w:rPr>
        <w:rFonts w:hint="default"/>
        <w:b/>
        <w:i w:val="0"/>
        <w:sz w:val="24"/>
      </w:rPr>
    </w:lvl>
    <w:lvl w:ilvl="1">
      <w:start w:val="1"/>
      <w:numFmt w:val="bullet"/>
      <w:lvlText w:val="n"/>
      <w:lvlJc w:val="left"/>
      <w:pPr>
        <w:ind w:left="680" w:hanging="320"/>
      </w:pPr>
      <w:rPr>
        <w:rFonts w:ascii="Wingdings" w:hAnsi="Wingdings" w:hint="default"/>
        <w:color w:val="F88E2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269293C"/>
    <w:multiLevelType w:val="hybridMultilevel"/>
    <w:tmpl w:val="AFCCB2AE"/>
    <w:lvl w:ilvl="0" w:tplc="52A4F5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07D0E"/>
    <w:multiLevelType w:val="hybridMultilevel"/>
    <w:tmpl w:val="BE963306"/>
    <w:lvl w:ilvl="0" w:tplc="711A5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A17E6"/>
    <w:multiLevelType w:val="hybridMultilevel"/>
    <w:tmpl w:val="0F88387A"/>
    <w:lvl w:ilvl="0" w:tplc="FFFFFFFF">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032BC"/>
    <w:multiLevelType w:val="hybridMultilevel"/>
    <w:tmpl w:val="05D64A90"/>
    <w:lvl w:ilvl="0" w:tplc="F6A0F492">
      <w:start w:val="1"/>
      <w:numFmt w:val="bullet"/>
      <w:lvlText w:val="•"/>
      <w:lvlJc w:val="left"/>
      <w:pPr>
        <w:tabs>
          <w:tab w:val="num" w:pos="720"/>
        </w:tabs>
        <w:ind w:left="720" w:hanging="360"/>
      </w:pPr>
      <w:rPr>
        <w:rFonts w:ascii="Arial" w:hAnsi="Arial" w:hint="default"/>
      </w:rPr>
    </w:lvl>
    <w:lvl w:ilvl="1" w:tplc="4E80F4DE" w:tentative="1">
      <w:start w:val="1"/>
      <w:numFmt w:val="bullet"/>
      <w:lvlText w:val="•"/>
      <w:lvlJc w:val="left"/>
      <w:pPr>
        <w:tabs>
          <w:tab w:val="num" w:pos="1440"/>
        </w:tabs>
        <w:ind w:left="1440" w:hanging="360"/>
      </w:pPr>
      <w:rPr>
        <w:rFonts w:ascii="Arial" w:hAnsi="Arial" w:hint="default"/>
      </w:rPr>
    </w:lvl>
    <w:lvl w:ilvl="2" w:tplc="7180D3A8" w:tentative="1">
      <w:start w:val="1"/>
      <w:numFmt w:val="bullet"/>
      <w:lvlText w:val="•"/>
      <w:lvlJc w:val="left"/>
      <w:pPr>
        <w:tabs>
          <w:tab w:val="num" w:pos="2160"/>
        </w:tabs>
        <w:ind w:left="2160" w:hanging="360"/>
      </w:pPr>
      <w:rPr>
        <w:rFonts w:ascii="Arial" w:hAnsi="Arial" w:hint="default"/>
      </w:rPr>
    </w:lvl>
    <w:lvl w:ilvl="3" w:tplc="6D1C47C8" w:tentative="1">
      <w:start w:val="1"/>
      <w:numFmt w:val="bullet"/>
      <w:lvlText w:val="•"/>
      <w:lvlJc w:val="left"/>
      <w:pPr>
        <w:tabs>
          <w:tab w:val="num" w:pos="2880"/>
        </w:tabs>
        <w:ind w:left="2880" w:hanging="360"/>
      </w:pPr>
      <w:rPr>
        <w:rFonts w:ascii="Arial" w:hAnsi="Arial" w:hint="default"/>
      </w:rPr>
    </w:lvl>
    <w:lvl w:ilvl="4" w:tplc="216CA486">
      <w:numFmt w:val="bullet"/>
      <w:lvlText w:val="•"/>
      <w:lvlJc w:val="left"/>
      <w:pPr>
        <w:tabs>
          <w:tab w:val="num" w:pos="3600"/>
        </w:tabs>
        <w:ind w:left="3600" w:hanging="360"/>
      </w:pPr>
      <w:rPr>
        <w:rFonts w:ascii="Arial" w:hAnsi="Arial" w:hint="default"/>
      </w:rPr>
    </w:lvl>
    <w:lvl w:ilvl="5" w:tplc="34C03024" w:tentative="1">
      <w:start w:val="1"/>
      <w:numFmt w:val="bullet"/>
      <w:lvlText w:val="•"/>
      <w:lvlJc w:val="left"/>
      <w:pPr>
        <w:tabs>
          <w:tab w:val="num" w:pos="4320"/>
        </w:tabs>
        <w:ind w:left="4320" w:hanging="360"/>
      </w:pPr>
      <w:rPr>
        <w:rFonts w:ascii="Arial" w:hAnsi="Arial" w:hint="default"/>
      </w:rPr>
    </w:lvl>
    <w:lvl w:ilvl="6" w:tplc="379EF63A" w:tentative="1">
      <w:start w:val="1"/>
      <w:numFmt w:val="bullet"/>
      <w:lvlText w:val="•"/>
      <w:lvlJc w:val="left"/>
      <w:pPr>
        <w:tabs>
          <w:tab w:val="num" w:pos="5040"/>
        </w:tabs>
        <w:ind w:left="5040" w:hanging="360"/>
      </w:pPr>
      <w:rPr>
        <w:rFonts w:ascii="Arial" w:hAnsi="Arial" w:hint="default"/>
      </w:rPr>
    </w:lvl>
    <w:lvl w:ilvl="7" w:tplc="9152A3F4" w:tentative="1">
      <w:start w:val="1"/>
      <w:numFmt w:val="bullet"/>
      <w:lvlText w:val="•"/>
      <w:lvlJc w:val="left"/>
      <w:pPr>
        <w:tabs>
          <w:tab w:val="num" w:pos="5760"/>
        </w:tabs>
        <w:ind w:left="5760" w:hanging="360"/>
      </w:pPr>
      <w:rPr>
        <w:rFonts w:ascii="Arial" w:hAnsi="Arial" w:hint="default"/>
      </w:rPr>
    </w:lvl>
    <w:lvl w:ilvl="8" w:tplc="39DC36C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B614CD7"/>
    <w:multiLevelType w:val="hybridMultilevel"/>
    <w:tmpl w:val="0DD2A174"/>
    <w:lvl w:ilvl="0" w:tplc="775EE204">
      <w:start w:val="1"/>
      <w:numFmt w:val="bullet"/>
      <w:lvlText w:val="•"/>
      <w:lvlJc w:val="left"/>
      <w:pPr>
        <w:tabs>
          <w:tab w:val="num" w:pos="720"/>
        </w:tabs>
        <w:ind w:left="720" w:hanging="360"/>
      </w:pPr>
      <w:rPr>
        <w:rFonts w:ascii="Times New Roman" w:hAnsi="Times New Roman" w:hint="default"/>
      </w:rPr>
    </w:lvl>
    <w:lvl w:ilvl="1" w:tplc="61FC567E" w:tentative="1">
      <w:start w:val="1"/>
      <w:numFmt w:val="bullet"/>
      <w:lvlText w:val="•"/>
      <w:lvlJc w:val="left"/>
      <w:pPr>
        <w:tabs>
          <w:tab w:val="num" w:pos="1440"/>
        </w:tabs>
        <w:ind w:left="1440" w:hanging="360"/>
      </w:pPr>
      <w:rPr>
        <w:rFonts w:ascii="Times New Roman" w:hAnsi="Times New Roman" w:hint="default"/>
      </w:rPr>
    </w:lvl>
    <w:lvl w:ilvl="2" w:tplc="9D22D26A" w:tentative="1">
      <w:start w:val="1"/>
      <w:numFmt w:val="bullet"/>
      <w:lvlText w:val="•"/>
      <w:lvlJc w:val="left"/>
      <w:pPr>
        <w:tabs>
          <w:tab w:val="num" w:pos="2160"/>
        </w:tabs>
        <w:ind w:left="2160" w:hanging="360"/>
      </w:pPr>
      <w:rPr>
        <w:rFonts w:ascii="Times New Roman" w:hAnsi="Times New Roman" w:hint="default"/>
      </w:rPr>
    </w:lvl>
    <w:lvl w:ilvl="3" w:tplc="CF6CF648" w:tentative="1">
      <w:start w:val="1"/>
      <w:numFmt w:val="bullet"/>
      <w:lvlText w:val="•"/>
      <w:lvlJc w:val="left"/>
      <w:pPr>
        <w:tabs>
          <w:tab w:val="num" w:pos="2880"/>
        </w:tabs>
        <w:ind w:left="2880" w:hanging="360"/>
      </w:pPr>
      <w:rPr>
        <w:rFonts w:ascii="Times New Roman" w:hAnsi="Times New Roman" w:hint="default"/>
      </w:rPr>
    </w:lvl>
    <w:lvl w:ilvl="4" w:tplc="F4BEBD4A" w:tentative="1">
      <w:start w:val="1"/>
      <w:numFmt w:val="bullet"/>
      <w:lvlText w:val="•"/>
      <w:lvlJc w:val="left"/>
      <w:pPr>
        <w:tabs>
          <w:tab w:val="num" w:pos="3600"/>
        </w:tabs>
        <w:ind w:left="3600" w:hanging="360"/>
      </w:pPr>
      <w:rPr>
        <w:rFonts w:ascii="Times New Roman" w:hAnsi="Times New Roman" w:hint="default"/>
      </w:rPr>
    </w:lvl>
    <w:lvl w:ilvl="5" w:tplc="4100EFE2" w:tentative="1">
      <w:start w:val="1"/>
      <w:numFmt w:val="bullet"/>
      <w:lvlText w:val="•"/>
      <w:lvlJc w:val="left"/>
      <w:pPr>
        <w:tabs>
          <w:tab w:val="num" w:pos="4320"/>
        </w:tabs>
        <w:ind w:left="4320" w:hanging="360"/>
      </w:pPr>
      <w:rPr>
        <w:rFonts w:ascii="Times New Roman" w:hAnsi="Times New Roman" w:hint="default"/>
      </w:rPr>
    </w:lvl>
    <w:lvl w:ilvl="6" w:tplc="57140292" w:tentative="1">
      <w:start w:val="1"/>
      <w:numFmt w:val="bullet"/>
      <w:lvlText w:val="•"/>
      <w:lvlJc w:val="left"/>
      <w:pPr>
        <w:tabs>
          <w:tab w:val="num" w:pos="5040"/>
        </w:tabs>
        <w:ind w:left="5040" w:hanging="360"/>
      </w:pPr>
      <w:rPr>
        <w:rFonts w:ascii="Times New Roman" w:hAnsi="Times New Roman" w:hint="default"/>
      </w:rPr>
    </w:lvl>
    <w:lvl w:ilvl="7" w:tplc="F606DD06" w:tentative="1">
      <w:start w:val="1"/>
      <w:numFmt w:val="bullet"/>
      <w:lvlText w:val="•"/>
      <w:lvlJc w:val="left"/>
      <w:pPr>
        <w:tabs>
          <w:tab w:val="num" w:pos="5760"/>
        </w:tabs>
        <w:ind w:left="5760" w:hanging="360"/>
      </w:pPr>
      <w:rPr>
        <w:rFonts w:ascii="Times New Roman" w:hAnsi="Times New Roman" w:hint="default"/>
      </w:rPr>
    </w:lvl>
    <w:lvl w:ilvl="8" w:tplc="CC4867E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D2634C"/>
    <w:multiLevelType w:val="hybridMultilevel"/>
    <w:tmpl w:val="E1701808"/>
    <w:lvl w:ilvl="0" w:tplc="C6727E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8046AE"/>
    <w:multiLevelType w:val="multilevel"/>
    <w:tmpl w:val="B2E8216A"/>
    <w:lvl w:ilvl="0">
      <w:start w:val="1"/>
      <w:numFmt w:val="decimal"/>
      <w:lvlText w:val="%1."/>
      <w:lvlJc w:val="left"/>
      <w:pPr>
        <w:ind w:left="360" w:hanging="360"/>
      </w:pPr>
      <w:rPr>
        <w:rFonts w:hint="default"/>
        <w:b/>
        <w:i w:val="0"/>
        <w:sz w:val="24"/>
      </w:rPr>
    </w:lvl>
    <w:lvl w:ilvl="1">
      <w:start w:val="1"/>
      <w:numFmt w:val="bullet"/>
      <w:lvlText w:val="n"/>
      <w:lvlJc w:val="left"/>
      <w:pPr>
        <w:ind w:left="680" w:hanging="320"/>
      </w:pPr>
      <w:rPr>
        <w:rFonts w:ascii="Wingdings" w:hAnsi="Wingdings" w:hint="default"/>
        <w:color w:val="F88E2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C86EFA"/>
    <w:multiLevelType w:val="hybridMultilevel"/>
    <w:tmpl w:val="61569BD4"/>
    <w:lvl w:ilvl="0" w:tplc="08090005">
      <w:start w:val="1"/>
      <w:numFmt w:val="bullet"/>
      <w:lvlText w:val=""/>
      <w:lvlJc w:val="left"/>
      <w:pPr>
        <w:ind w:left="8280" w:hanging="360"/>
      </w:pPr>
      <w:rPr>
        <w:rFonts w:ascii="Wingdings" w:hAnsi="Wingdings" w:hint="default"/>
      </w:rPr>
    </w:lvl>
    <w:lvl w:ilvl="1" w:tplc="08090003" w:tentative="1">
      <w:start w:val="1"/>
      <w:numFmt w:val="bullet"/>
      <w:lvlText w:val="o"/>
      <w:lvlJc w:val="left"/>
      <w:pPr>
        <w:ind w:left="9000" w:hanging="360"/>
      </w:pPr>
      <w:rPr>
        <w:rFonts w:ascii="Courier New" w:hAnsi="Courier New" w:hint="default"/>
      </w:rPr>
    </w:lvl>
    <w:lvl w:ilvl="2" w:tplc="08090005" w:tentative="1">
      <w:start w:val="1"/>
      <w:numFmt w:val="bullet"/>
      <w:lvlText w:val=""/>
      <w:lvlJc w:val="left"/>
      <w:pPr>
        <w:ind w:left="9720" w:hanging="360"/>
      </w:pPr>
      <w:rPr>
        <w:rFonts w:ascii="Wingdings" w:hAnsi="Wingdings" w:hint="default"/>
      </w:rPr>
    </w:lvl>
    <w:lvl w:ilvl="3" w:tplc="08090001" w:tentative="1">
      <w:start w:val="1"/>
      <w:numFmt w:val="bullet"/>
      <w:lvlText w:val=""/>
      <w:lvlJc w:val="left"/>
      <w:pPr>
        <w:ind w:left="10440" w:hanging="360"/>
      </w:pPr>
      <w:rPr>
        <w:rFonts w:ascii="Symbol" w:hAnsi="Symbol" w:hint="default"/>
      </w:rPr>
    </w:lvl>
    <w:lvl w:ilvl="4" w:tplc="08090003" w:tentative="1">
      <w:start w:val="1"/>
      <w:numFmt w:val="bullet"/>
      <w:lvlText w:val="o"/>
      <w:lvlJc w:val="left"/>
      <w:pPr>
        <w:ind w:left="11160" w:hanging="360"/>
      </w:pPr>
      <w:rPr>
        <w:rFonts w:ascii="Courier New" w:hAnsi="Courier New" w:hint="default"/>
      </w:rPr>
    </w:lvl>
    <w:lvl w:ilvl="5" w:tplc="08090005" w:tentative="1">
      <w:start w:val="1"/>
      <w:numFmt w:val="bullet"/>
      <w:lvlText w:val=""/>
      <w:lvlJc w:val="left"/>
      <w:pPr>
        <w:ind w:left="11880" w:hanging="360"/>
      </w:pPr>
      <w:rPr>
        <w:rFonts w:ascii="Wingdings" w:hAnsi="Wingdings" w:hint="default"/>
      </w:rPr>
    </w:lvl>
    <w:lvl w:ilvl="6" w:tplc="08090001" w:tentative="1">
      <w:start w:val="1"/>
      <w:numFmt w:val="bullet"/>
      <w:lvlText w:val=""/>
      <w:lvlJc w:val="left"/>
      <w:pPr>
        <w:ind w:left="12600" w:hanging="360"/>
      </w:pPr>
      <w:rPr>
        <w:rFonts w:ascii="Symbol" w:hAnsi="Symbol" w:hint="default"/>
      </w:rPr>
    </w:lvl>
    <w:lvl w:ilvl="7" w:tplc="08090003" w:tentative="1">
      <w:start w:val="1"/>
      <w:numFmt w:val="bullet"/>
      <w:lvlText w:val="o"/>
      <w:lvlJc w:val="left"/>
      <w:pPr>
        <w:ind w:left="13320" w:hanging="360"/>
      </w:pPr>
      <w:rPr>
        <w:rFonts w:ascii="Courier New" w:hAnsi="Courier New" w:hint="default"/>
      </w:rPr>
    </w:lvl>
    <w:lvl w:ilvl="8" w:tplc="08090005" w:tentative="1">
      <w:start w:val="1"/>
      <w:numFmt w:val="bullet"/>
      <w:lvlText w:val=""/>
      <w:lvlJc w:val="left"/>
      <w:pPr>
        <w:ind w:left="14040" w:hanging="360"/>
      </w:pPr>
      <w:rPr>
        <w:rFonts w:ascii="Wingdings" w:hAnsi="Wingdings" w:hint="default"/>
      </w:rPr>
    </w:lvl>
  </w:abstractNum>
  <w:abstractNum w:abstractNumId="10" w15:restartNumberingAfterBreak="0">
    <w:nsid w:val="11936BC8"/>
    <w:multiLevelType w:val="hybridMultilevel"/>
    <w:tmpl w:val="3EF8FD9A"/>
    <w:lvl w:ilvl="0" w:tplc="711A5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E946D2"/>
    <w:multiLevelType w:val="multilevel"/>
    <w:tmpl w:val="0FF68F24"/>
    <w:lvl w:ilvl="0">
      <w:start w:val="1"/>
      <w:numFmt w:val="lowerRoman"/>
      <w:lvlText w:val="%1."/>
      <w:lvlJc w:val="righ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275160"/>
    <w:multiLevelType w:val="hybridMultilevel"/>
    <w:tmpl w:val="1C94D38A"/>
    <w:lvl w:ilvl="0" w:tplc="D0A60E58">
      <w:start w:val="1"/>
      <w:numFmt w:val="bullet"/>
      <w:lvlText w:val="•"/>
      <w:lvlJc w:val="left"/>
      <w:pPr>
        <w:tabs>
          <w:tab w:val="num" w:pos="720"/>
        </w:tabs>
        <w:ind w:left="720" w:hanging="360"/>
      </w:pPr>
      <w:rPr>
        <w:rFonts w:ascii="Times New Roman" w:hAnsi="Times New Roman" w:hint="default"/>
      </w:rPr>
    </w:lvl>
    <w:lvl w:ilvl="1" w:tplc="B9EC2542" w:tentative="1">
      <w:start w:val="1"/>
      <w:numFmt w:val="bullet"/>
      <w:lvlText w:val="•"/>
      <w:lvlJc w:val="left"/>
      <w:pPr>
        <w:tabs>
          <w:tab w:val="num" w:pos="1440"/>
        </w:tabs>
        <w:ind w:left="1440" w:hanging="360"/>
      </w:pPr>
      <w:rPr>
        <w:rFonts w:ascii="Times New Roman" w:hAnsi="Times New Roman" w:hint="default"/>
      </w:rPr>
    </w:lvl>
    <w:lvl w:ilvl="2" w:tplc="B77A69C4" w:tentative="1">
      <w:start w:val="1"/>
      <w:numFmt w:val="bullet"/>
      <w:lvlText w:val="•"/>
      <w:lvlJc w:val="left"/>
      <w:pPr>
        <w:tabs>
          <w:tab w:val="num" w:pos="2160"/>
        </w:tabs>
        <w:ind w:left="2160" w:hanging="360"/>
      </w:pPr>
      <w:rPr>
        <w:rFonts w:ascii="Times New Roman" w:hAnsi="Times New Roman" w:hint="default"/>
      </w:rPr>
    </w:lvl>
    <w:lvl w:ilvl="3" w:tplc="F4285532" w:tentative="1">
      <w:start w:val="1"/>
      <w:numFmt w:val="bullet"/>
      <w:lvlText w:val="•"/>
      <w:lvlJc w:val="left"/>
      <w:pPr>
        <w:tabs>
          <w:tab w:val="num" w:pos="2880"/>
        </w:tabs>
        <w:ind w:left="2880" w:hanging="360"/>
      </w:pPr>
      <w:rPr>
        <w:rFonts w:ascii="Times New Roman" w:hAnsi="Times New Roman" w:hint="default"/>
      </w:rPr>
    </w:lvl>
    <w:lvl w:ilvl="4" w:tplc="E6FE3E3E" w:tentative="1">
      <w:start w:val="1"/>
      <w:numFmt w:val="bullet"/>
      <w:lvlText w:val="•"/>
      <w:lvlJc w:val="left"/>
      <w:pPr>
        <w:tabs>
          <w:tab w:val="num" w:pos="3600"/>
        </w:tabs>
        <w:ind w:left="3600" w:hanging="360"/>
      </w:pPr>
      <w:rPr>
        <w:rFonts w:ascii="Times New Roman" w:hAnsi="Times New Roman" w:hint="default"/>
      </w:rPr>
    </w:lvl>
    <w:lvl w:ilvl="5" w:tplc="343891A4" w:tentative="1">
      <w:start w:val="1"/>
      <w:numFmt w:val="bullet"/>
      <w:lvlText w:val="•"/>
      <w:lvlJc w:val="left"/>
      <w:pPr>
        <w:tabs>
          <w:tab w:val="num" w:pos="4320"/>
        </w:tabs>
        <w:ind w:left="4320" w:hanging="360"/>
      </w:pPr>
      <w:rPr>
        <w:rFonts w:ascii="Times New Roman" w:hAnsi="Times New Roman" w:hint="default"/>
      </w:rPr>
    </w:lvl>
    <w:lvl w:ilvl="6" w:tplc="B1EC5E3C" w:tentative="1">
      <w:start w:val="1"/>
      <w:numFmt w:val="bullet"/>
      <w:lvlText w:val="•"/>
      <w:lvlJc w:val="left"/>
      <w:pPr>
        <w:tabs>
          <w:tab w:val="num" w:pos="5040"/>
        </w:tabs>
        <w:ind w:left="5040" w:hanging="360"/>
      </w:pPr>
      <w:rPr>
        <w:rFonts w:ascii="Times New Roman" w:hAnsi="Times New Roman" w:hint="default"/>
      </w:rPr>
    </w:lvl>
    <w:lvl w:ilvl="7" w:tplc="98C2D6B8" w:tentative="1">
      <w:start w:val="1"/>
      <w:numFmt w:val="bullet"/>
      <w:lvlText w:val="•"/>
      <w:lvlJc w:val="left"/>
      <w:pPr>
        <w:tabs>
          <w:tab w:val="num" w:pos="5760"/>
        </w:tabs>
        <w:ind w:left="5760" w:hanging="360"/>
      </w:pPr>
      <w:rPr>
        <w:rFonts w:ascii="Times New Roman" w:hAnsi="Times New Roman" w:hint="default"/>
      </w:rPr>
    </w:lvl>
    <w:lvl w:ilvl="8" w:tplc="EBF47D4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71A01A9"/>
    <w:multiLevelType w:val="hybridMultilevel"/>
    <w:tmpl w:val="C1C89C34"/>
    <w:lvl w:ilvl="0" w:tplc="26E20604">
      <w:start w:val="1"/>
      <w:numFmt w:val="bullet"/>
      <w:lvlText w:val="•"/>
      <w:lvlJc w:val="left"/>
      <w:pPr>
        <w:tabs>
          <w:tab w:val="num" w:pos="720"/>
        </w:tabs>
        <w:ind w:left="720" w:hanging="360"/>
      </w:pPr>
      <w:rPr>
        <w:rFonts w:ascii="Arial" w:hAnsi="Arial" w:hint="default"/>
      </w:rPr>
    </w:lvl>
    <w:lvl w:ilvl="1" w:tplc="46AE179C" w:tentative="1">
      <w:start w:val="1"/>
      <w:numFmt w:val="bullet"/>
      <w:lvlText w:val="•"/>
      <w:lvlJc w:val="left"/>
      <w:pPr>
        <w:tabs>
          <w:tab w:val="num" w:pos="1440"/>
        </w:tabs>
        <w:ind w:left="1440" w:hanging="360"/>
      </w:pPr>
      <w:rPr>
        <w:rFonts w:ascii="Arial" w:hAnsi="Arial" w:hint="default"/>
      </w:rPr>
    </w:lvl>
    <w:lvl w:ilvl="2" w:tplc="3EE89B2C">
      <w:numFmt w:val="bullet"/>
      <w:lvlText w:val="•"/>
      <w:lvlJc w:val="left"/>
      <w:pPr>
        <w:tabs>
          <w:tab w:val="num" w:pos="2160"/>
        </w:tabs>
        <w:ind w:left="2160" w:hanging="360"/>
      </w:pPr>
      <w:rPr>
        <w:rFonts w:ascii="Arial" w:hAnsi="Arial" w:hint="default"/>
      </w:rPr>
    </w:lvl>
    <w:lvl w:ilvl="3" w:tplc="90CC8734" w:tentative="1">
      <w:start w:val="1"/>
      <w:numFmt w:val="bullet"/>
      <w:lvlText w:val="•"/>
      <w:lvlJc w:val="left"/>
      <w:pPr>
        <w:tabs>
          <w:tab w:val="num" w:pos="2880"/>
        </w:tabs>
        <w:ind w:left="2880" w:hanging="360"/>
      </w:pPr>
      <w:rPr>
        <w:rFonts w:ascii="Arial" w:hAnsi="Arial" w:hint="default"/>
      </w:rPr>
    </w:lvl>
    <w:lvl w:ilvl="4" w:tplc="7758CFAA" w:tentative="1">
      <w:start w:val="1"/>
      <w:numFmt w:val="bullet"/>
      <w:lvlText w:val="•"/>
      <w:lvlJc w:val="left"/>
      <w:pPr>
        <w:tabs>
          <w:tab w:val="num" w:pos="3600"/>
        </w:tabs>
        <w:ind w:left="3600" w:hanging="360"/>
      </w:pPr>
      <w:rPr>
        <w:rFonts w:ascii="Arial" w:hAnsi="Arial" w:hint="default"/>
      </w:rPr>
    </w:lvl>
    <w:lvl w:ilvl="5" w:tplc="4F4203CC" w:tentative="1">
      <w:start w:val="1"/>
      <w:numFmt w:val="bullet"/>
      <w:lvlText w:val="•"/>
      <w:lvlJc w:val="left"/>
      <w:pPr>
        <w:tabs>
          <w:tab w:val="num" w:pos="4320"/>
        </w:tabs>
        <w:ind w:left="4320" w:hanging="360"/>
      </w:pPr>
      <w:rPr>
        <w:rFonts w:ascii="Arial" w:hAnsi="Arial" w:hint="default"/>
      </w:rPr>
    </w:lvl>
    <w:lvl w:ilvl="6" w:tplc="14AC7386" w:tentative="1">
      <w:start w:val="1"/>
      <w:numFmt w:val="bullet"/>
      <w:lvlText w:val="•"/>
      <w:lvlJc w:val="left"/>
      <w:pPr>
        <w:tabs>
          <w:tab w:val="num" w:pos="5040"/>
        </w:tabs>
        <w:ind w:left="5040" w:hanging="360"/>
      </w:pPr>
      <w:rPr>
        <w:rFonts w:ascii="Arial" w:hAnsi="Arial" w:hint="default"/>
      </w:rPr>
    </w:lvl>
    <w:lvl w:ilvl="7" w:tplc="49DCF270" w:tentative="1">
      <w:start w:val="1"/>
      <w:numFmt w:val="bullet"/>
      <w:lvlText w:val="•"/>
      <w:lvlJc w:val="left"/>
      <w:pPr>
        <w:tabs>
          <w:tab w:val="num" w:pos="5760"/>
        </w:tabs>
        <w:ind w:left="5760" w:hanging="360"/>
      </w:pPr>
      <w:rPr>
        <w:rFonts w:ascii="Arial" w:hAnsi="Arial" w:hint="default"/>
      </w:rPr>
    </w:lvl>
    <w:lvl w:ilvl="8" w:tplc="49408E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B3450F1"/>
    <w:multiLevelType w:val="multilevel"/>
    <w:tmpl w:val="B2E8216A"/>
    <w:lvl w:ilvl="0">
      <w:start w:val="1"/>
      <w:numFmt w:val="decimal"/>
      <w:lvlText w:val="%1."/>
      <w:lvlJc w:val="left"/>
      <w:pPr>
        <w:ind w:left="360" w:hanging="360"/>
      </w:pPr>
      <w:rPr>
        <w:rFonts w:hint="default"/>
        <w:b/>
        <w:i w:val="0"/>
        <w:sz w:val="24"/>
      </w:rPr>
    </w:lvl>
    <w:lvl w:ilvl="1">
      <w:start w:val="1"/>
      <w:numFmt w:val="bullet"/>
      <w:lvlText w:val="n"/>
      <w:lvlJc w:val="left"/>
      <w:pPr>
        <w:ind w:left="680" w:hanging="320"/>
      </w:pPr>
      <w:rPr>
        <w:rFonts w:ascii="Wingdings" w:hAnsi="Wingdings" w:hint="default"/>
        <w:color w:val="F88E2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C8959F8"/>
    <w:multiLevelType w:val="hybridMultilevel"/>
    <w:tmpl w:val="C9DCAE34"/>
    <w:lvl w:ilvl="0" w:tplc="711A5FE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0C0926"/>
    <w:multiLevelType w:val="hybridMultilevel"/>
    <w:tmpl w:val="F4AC1F48"/>
    <w:lvl w:ilvl="0" w:tplc="E94211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5A220B"/>
    <w:multiLevelType w:val="hybridMultilevel"/>
    <w:tmpl w:val="7012F084"/>
    <w:lvl w:ilvl="0" w:tplc="8FD8EABC">
      <w:start w:val="1"/>
      <w:numFmt w:val="bullet"/>
      <w:lvlText w:val="•"/>
      <w:lvlJc w:val="left"/>
      <w:pPr>
        <w:tabs>
          <w:tab w:val="num" w:pos="720"/>
        </w:tabs>
        <w:ind w:left="720" w:hanging="360"/>
      </w:pPr>
      <w:rPr>
        <w:rFonts w:ascii="Times New Roman" w:hAnsi="Times New Roman" w:hint="default"/>
      </w:rPr>
    </w:lvl>
    <w:lvl w:ilvl="1" w:tplc="B8B46050">
      <w:numFmt w:val="none"/>
      <w:lvlText w:val=""/>
      <w:lvlJc w:val="left"/>
      <w:pPr>
        <w:tabs>
          <w:tab w:val="num" w:pos="360"/>
        </w:tabs>
      </w:pPr>
    </w:lvl>
    <w:lvl w:ilvl="2" w:tplc="3B6E6384" w:tentative="1">
      <w:start w:val="1"/>
      <w:numFmt w:val="bullet"/>
      <w:lvlText w:val="•"/>
      <w:lvlJc w:val="left"/>
      <w:pPr>
        <w:tabs>
          <w:tab w:val="num" w:pos="2160"/>
        </w:tabs>
        <w:ind w:left="2160" w:hanging="360"/>
      </w:pPr>
      <w:rPr>
        <w:rFonts w:ascii="Times New Roman" w:hAnsi="Times New Roman" w:hint="default"/>
      </w:rPr>
    </w:lvl>
    <w:lvl w:ilvl="3" w:tplc="3EF0D0CA" w:tentative="1">
      <w:start w:val="1"/>
      <w:numFmt w:val="bullet"/>
      <w:lvlText w:val="•"/>
      <w:lvlJc w:val="left"/>
      <w:pPr>
        <w:tabs>
          <w:tab w:val="num" w:pos="2880"/>
        </w:tabs>
        <w:ind w:left="2880" w:hanging="360"/>
      </w:pPr>
      <w:rPr>
        <w:rFonts w:ascii="Times New Roman" w:hAnsi="Times New Roman" w:hint="default"/>
      </w:rPr>
    </w:lvl>
    <w:lvl w:ilvl="4" w:tplc="8530068A" w:tentative="1">
      <w:start w:val="1"/>
      <w:numFmt w:val="bullet"/>
      <w:lvlText w:val="•"/>
      <w:lvlJc w:val="left"/>
      <w:pPr>
        <w:tabs>
          <w:tab w:val="num" w:pos="3600"/>
        </w:tabs>
        <w:ind w:left="3600" w:hanging="360"/>
      </w:pPr>
      <w:rPr>
        <w:rFonts w:ascii="Times New Roman" w:hAnsi="Times New Roman" w:hint="default"/>
      </w:rPr>
    </w:lvl>
    <w:lvl w:ilvl="5" w:tplc="3314F8B8" w:tentative="1">
      <w:start w:val="1"/>
      <w:numFmt w:val="bullet"/>
      <w:lvlText w:val="•"/>
      <w:lvlJc w:val="left"/>
      <w:pPr>
        <w:tabs>
          <w:tab w:val="num" w:pos="4320"/>
        </w:tabs>
        <w:ind w:left="4320" w:hanging="360"/>
      </w:pPr>
      <w:rPr>
        <w:rFonts w:ascii="Times New Roman" w:hAnsi="Times New Roman" w:hint="default"/>
      </w:rPr>
    </w:lvl>
    <w:lvl w:ilvl="6" w:tplc="312E149C" w:tentative="1">
      <w:start w:val="1"/>
      <w:numFmt w:val="bullet"/>
      <w:lvlText w:val="•"/>
      <w:lvlJc w:val="left"/>
      <w:pPr>
        <w:tabs>
          <w:tab w:val="num" w:pos="5040"/>
        </w:tabs>
        <w:ind w:left="5040" w:hanging="360"/>
      </w:pPr>
      <w:rPr>
        <w:rFonts w:ascii="Times New Roman" w:hAnsi="Times New Roman" w:hint="default"/>
      </w:rPr>
    </w:lvl>
    <w:lvl w:ilvl="7" w:tplc="1E8C6238" w:tentative="1">
      <w:start w:val="1"/>
      <w:numFmt w:val="bullet"/>
      <w:lvlText w:val="•"/>
      <w:lvlJc w:val="left"/>
      <w:pPr>
        <w:tabs>
          <w:tab w:val="num" w:pos="5760"/>
        </w:tabs>
        <w:ind w:left="5760" w:hanging="360"/>
      </w:pPr>
      <w:rPr>
        <w:rFonts w:ascii="Times New Roman" w:hAnsi="Times New Roman" w:hint="default"/>
      </w:rPr>
    </w:lvl>
    <w:lvl w:ilvl="8" w:tplc="970E942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2A13C88"/>
    <w:multiLevelType w:val="hybridMultilevel"/>
    <w:tmpl w:val="C278F778"/>
    <w:lvl w:ilvl="0" w:tplc="59A0C71C">
      <w:start w:val="1"/>
      <w:numFmt w:val="bullet"/>
      <w:lvlText w:val="•"/>
      <w:lvlJc w:val="left"/>
      <w:pPr>
        <w:tabs>
          <w:tab w:val="num" w:pos="720"/>
        </w:tabs>
        <w:ind w:left="720" w:hanging="360"/>
      </w:pPr>
      <w:rPr>
        <w:rFonts w:ascii="Times New Roman" w:hAnsi="Times New Roman" w:hint="default"/>
      </w:rPr>
    </w:lvl>
    <w:lvl w:ilvl="1" w:tplc="F2D0C78C" w:tentative="1">
      <w:start w:val="1"/>
      <w:numFmt w:val="bullet"/>
      <w:lvlText w:val="•"/>
      <w:lvlJc w:val="left"/>
      <w:pPr>
        <w:tabs>
          <w:tab w:val="num" w:pos="1440"/>
        </w:tabs>
        <w:ind w:left="1440" w:hanging="360"/>
      </w:pPr>
      <w:rPr>
        <w:rFonts w:ascii="Times New Roman" w:hAnsi="Times New Roman" w:hint="default"/>
      </w:rPr>
    </w:lvl>
    <w:lvl w:ilvl="2" w:tplc="FCEC748E" w:tentative="1">
      <w:start w:val="1"/>
      <w:numFmt w:val="bullet"/>
      <w:lvlText w:val="•"/>
      <w:lvlJc w:val="left"/>
      <w:pPr>
        <w:tabs>
          <w:tab w:val="num" w:pos="2160"/>
        </w:tabs>
        <w:ind w:left="2160" w:hanging="360"/>
      </w:pPr>
      <w:rPr>
        <w:rFonts w:ascii="Times New Roman" w:hAnsi="Times New Roman" w:hint="default"/>
      </w:rPr>
    </w:lvl>
    <w:lvl w:ilvl="3" w:tplc="D7904BB2" w:tentative="1">
      <w:start w:val="1"/>
      <w:numFmt w:val="bullet"/>
      <w:lvlText w:val="•"/>
      <w:lvlJc w:val="left"/>
      <w:pPr>
        <w:tabs>
          <w:tab w:val="num" w:pos="2880"/>
        </w:tabs>
        <w:ind w:left="2880" w:hanging="360"/>
      </w:pPr>
      <w:rPr>
        <w:rFonts w:ascii="Times New Roman" w:hAnsi="Times New Roman" w:hint="default"/>
      </w:rPr>
    </w:lvl>
    <w:lvl w:ilvl="4" w:tplc="3C7CB658" w:tentative="1">
      <w:start w:val="1"/>
      <w:numFmt w:val="bullet"/>
      <w:lvlText w:val="•"/>
      <w:lvlJc w:val="left"/>
      <w:pPr>
        <w:tabs>
          <w:tab w:val="num" w:pos="3600"/>
        </w:tabs>
        <w:ind w:left="3600" w:hanging="360"/>
      </w:pPr>
      <w:rPr>
        <w:rFonts w:ascii="Times New Roman" w:hAnsi="Times New Roman" w:hint="default"/>
      </w:rPr>
    </w:lvl>
    <w:lvl w:ilvl="5" w:tplc="D152E7B0" w:tentative="1">
      <w:start w:val="1"/>
      <w:numFmt w:val="bullet"/>
      <w:lvlText w:val="•"/>
      <w:lvlJc w:val="left"/>
      <w:pPr>
        <w:tabs>
          <w:tab w:val="num" w:pos="4320"/>
        </w:tabs>
        <w:ind w:left="4320" w:hanging="360"/>
      </w:pPr>
      <w:rPr>
        <w:rFonts w:ascii="Times New Roman" w:hAnsi="Times New Roman" w:hint="default"/>
      </w:rPr>
    </w:lvl>
    <w:lvl w:ilvl="6" w:tplc="CA9669F8" w:tentative="1">
      <w:start w:val="1"/>
      <w:numFmt w:val="bullet"/>
      <w:lvlText w:val="•"/>
      <w:lvlJc w:val="left"/>
      <w:pPr>
        <w:tabs>
          <w:tab w:val="num" w:pos="5040"/>
        </w:tabs>
        <w:ind w:left="5040" w:hanging="360"/>
      </w:pPr>
      <w:rPr>
        <w:rFonts w:ascii="Times New Roman" w:hAnsi="Times New Roman" w:hint="default"/>
      </w:rPr>
    </w:lvl>
    <w:lvl w:ilvl="7" w:tplc="B55873A2" w:tentative="1">
      <w:start w:val="1"/>
      <w:numFmt w:val="bullet"/>
      <w:lvlText w:val="•"/>
      <w:lvlJc w:val="left"/>
      <w:pPr>
        <w:tabs>
          <w:tab w:val="num" w:pos="5760"/>
        </w:tabs>
        <w:ind w:left="5760" w:hanging="360"/>
      </w:pPr>
      <w:rPr>
        <w:rFonts w:ascii="Times New Roman" w:hAnsi="Times New Roman" w:hint="default"/>
      </w:rPr>
    </w:lvl>
    <w:lvl w:ilvl="8" w:tplc="A07EAD0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415759F"/>
    <w:multiLevelType w:val="hybridMultilevel"/>
    <w:tmpl w:val="7ED64D62"/>
    <w:lvl w:ilvl="0" w:tplc="CB1EB88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1308D2"/>
    <w:multiLevelType w:val="hybridMultilevel"/>
    <w:tmpl w:val="05249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C421A2"/>
    <w:multiLevelType w:val="hybridMultilevel"/>
    <w:tmpl w:val="DA00DFA2"/>
    <w:lvl w:ilvl="0" w:tplc="C76E7232">
      <w:start w:val="1"/>
      <w:numFmt w:val="bullet"/>
      <w:lvlText w:val="•"/>
      <w:lvlJc w:val="left"/>
      <w:pPr>
        <w:tabs>
          <w:tab w:val="num" w:pos="720"/>
        </w:tabs>
        <w:ind w:left="720" w:hanging="360"/>
      </w:pPr>
      <w:rPr>
        <w:rFonts w:ascii="Times New Roman" w:hAnsi="Times New Roman" w:hint="default"/>
      </w:rPr>
    </w:lvl>
    <w:lvl w:ilvl="1" w:tplc="4C108376" w:tentative="1">
      <w:start w:val="1"/>
      <w:numFmt w:val="bullet"/>
      <w:lvlText w:val="•"/>
      <w:lvlJc w:val="left"/>
      <w:pPr>
        <w:tabs>
          <w:tab w:val="num" w:pos="1440"/>
        </w:tabs>
        <w:ind w:left="1440" w:hanging="360"/>
      </w:pPr>
      <w:rPr>
        <w:rFonts w:ascii="Times New Roman" w:hAnsi="Times New Roman" w:hint="default"/>
      </w:rPr>
    </w:lvl>
    <w:lvl w:ilvl="2" w:tplc="C8F87BB8" w:tentative="1">
      <w:start w:val="1"/>
      <w:numFmt w:val="bullet"/>
      <w:lvlText w:val="•"/>
      <w:lvlJc w:val="left"/>
      <w:pPr>
        <w:tabs>
          <w:tab w:val="num" w:pos="2160"/>
        </w:tabs>
        <w:ind w:left="2160" w:hanging="360"/>
      </w:pPr>
      <w:rPr>
        <w:rFonts w:ascii="Times New Roman" w:hAnsi="Times New Roman" w:hint="default"/>
      </w:rPr>
    </w:lvl>
    <w:lvl w:ilvl="3" w:tplc="D63E876A" w:tentative="1">
      <w:start w:val="1"/>
      <w:numFmt w:val="bullet"/>
      <w:lvlText w:val="•"/>
      <w:lvlJc w:val="left"/>
      <w:pPr>
        <w:tabs>
          <w:tab w:val="num" w:pos="2880"/>
        </w:tabs>
        <w:ind w:left="2880" w:hanging="360"/>
      </w:pPr>
      <w:rPr>
        <w:rFonts w:ascii="Times New Roman" w:hAnsi="Times New Roman" w:hint="default"/>
      </w:rPr>
    </w:lvl>
    <w:lvl w:ilvl="4" w:tplc="50A2D9D0" w:tentative="1">
      <w:start w:val="1"/>
      <w:numFmt w:val="bullet"/>
      <w:lvlText w:val="•"/>
      <w:lvlJc w:val="left"/>
      <w:pPr>
        <w:tabs>
          <w:tab w:val="num" w:pos="3600"/>
        </w:tabs>
        <w:ind w:left="3600" w:hanging="360"/>
      </w:pPr>
      <w:rPr>
        <w:rFonts w:ascii="Times New Roman" w:hAnsi="Times New Roman" w:hint="default"/>
      </w:rPr>
    </w:lvl>
    <w:lvl w:ilvl="5" w:tplc="814A875C" w:tentative="1">
      <w:start w:val="1"/>
      <w:numFmt w:val="bullet"/>
      <w:lvlText w:val="•"/>
      <w:lvlJc w:val="left"/>
      <w:pPr>
        <w:tabs>
          <w:tab w:val="num" w:pos="4320"/>
        </w:tabs>
        <w:ind w:left="4320" w:hanging="360"/>
      </w:pPr>
      <w:rPr>
        <w:rFonts w:ascii="Times New Roman" w:hAnsi="Times New Roman" w:hint="default"/>
      </w:rPr>
    </w:lvl>
    <w:lvl w:ilvl="6" w:tplc="352080BE" w:tentative="1">
      <w:start w:val="1"/>
      <w:numFmt w:val="bullet"/>
      <w:lvlText w:val="•"/>
      <w:lvlJc w:val="left"/>
      <w:pPr>
        <w:tabs>
          <w:tab w:val="num" w:pos="5040"/>
        </w:tabs>
        <w:ind w:left="5040" w:hanging="360"/>
      </w:pPr>
      <w:rPr>
        <w:rFonts w:ascii="Times New Roman" w:hAnsi="Times New Roman" w:hint="default"/>
      </w:rPr>
    </w:lvl>
    <w:lvl w:ilvl="7" w:tplc="8E44718A" w:tentative="1">
      <w:start w:val="1"/>
      <w:numFmt w:val="bullet"/>
      <w:lvlText w:val="•"/>
      <w:lvlJc w:val="left"/>
      <w:pPr>
        <w:tabs>
          <w:tab w:val="num" w:pos="5760"/>
        </w:tabs>
        <w:ind w:left="5760" w:hanging="360"/>
      </w:pPr>
      <w:rPr>
        <w:rFonts w:ascii="Times New Roman" w:hAnsi="Times New Roman" w:hint="default"/>
      </w:rPr>
    </w:lvl>
    <w:lvl w:ilvl="8" w:tplc="5FC4693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9E73141"/>
    <w:multiLevelType w:val="hybridMultilevel"/>
    <w:tmpl w:val="8702C02E"/>
    <w:lvl w:ilvl="0" w:tplc="08090005">
      <w:start w:val="1"/>
      <w:numFmt w:val="bullet"/>
      <w:lvlText w:val=""/>
      <w:lvlJc w:val="left"/>
      <w:pPr>
        <w:ind w:left="1160" w:hanging="360"/>
      </w:pPr>
      <w:rPr>
        <w:rFonts w:ascii="Wingdings" w:hAnsi="Wingdings" w:hint="default"/>
      </w:rPr>
    </w:lvl>
    <w:lvl w:ilvl="1" w:tplc="08090003" w:tentative="1">
      <w:start w:val="1"/>
      <w:numFmt w:val="bullet"/>
      <w:lvlText w:val="o"/>
      <w:lvlJc w:val="left"/>
      <w:pPr>
        <w:ind w:left="1880" w:hanging="360"/>
      </w:pPr>
      <w:rPr>
        <w:rFonts w:ascii="Courier New" w:hAnsi="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3" w15:restartNumberingAfterBreak="0">
    <w:nsid w:val="2F4412D2"/>
    <w:multiLevelType w:val="multilevel"/>
    <w:tmpl w:val="7E201B0E"/>
    <w:styleLink w:val="CurrentList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FD960CE"/>
    <w:multiLevelType w:val="hybridMultilevel"/>
    <w:tmpl w:val="25569E14"/>
    <w:lvl w:ilvl="0" w:tplc="FFFFFFFF">
      <w:start w:val="1"/>
      <w:numFmt w:val="decimal"/>
      <w:lvlText w:val="%1."/>
      <w:lvlJc w:val="left"/>
      <w:pPr>
        <w:ind w:left="720" w:hanging="360"/>
      </w:pPr>
      <w:rPr>
        <w:rFonts w:hint="default"/>
        <w:b/>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30A3E8D"/>
    <w:multiLevelType w:val="hybridMultilevel"/>
    <w:tmpl w:val="B9EC1050"/>
    <w:lvl w:ilvl="0" w:tplc="711A5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C047F7"/>
    <w:multiLevelType w:val="hybridMultilevel"/>
    <w:tmpl w:val="5AEC7EDA"/>
    <w:lvl w:ilvl="0" w:tplc="711A5FE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68749C"/>
    <w:multiLevelType w:val="hybridMultilevel"/>
    <w:tmpl w:val="BDA8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0C50ED"/>
    <w:multiLevelType w:val="hybridMultilevel"/>
    <w:tmpl w:val="BC2A4A74"/>
    <w:lvl w:ilvl="0" w:tplc="9454D4D0">
      <w:start w:val="1"/>
      <w:numFmt w:val="bullet"/>
      <w:lvlText w:val="•"/>
      <w:lvlJc w:val="left"/>
      <w:pPr>
        <w:tabs>
          <w:tab w:val="num" w:pos="720"/>
        </w:tabs>
        <w:ind w:left="720" w:hanging="360"/>
      </w:pPr>
      <w:rPr>
        <w:rFonts w:ascii="Times New Roman" w:hAnsi="Times New Roman" w:hint="default"/>
      </w:rPr>
    </w:lvl>
    <w:lvl w:ilvl="1" w:tplc="BA76AFE6" w:tentative="1">
      <w:start w:val="1"/>
      <w:numFmt w:val="bullet"/>
      <w:lvlText w:val="•"/>
      <w:lvlJc w:val="left"/>
      <w:pPr>
        <w:tabs>
          <w:tab w:val="num" w:pos="1440"/>
        </w:tabs>
        <w:ind w:left="1440" w:hanging="360"/>
      </w:pPr>
      <w:rPr>
        <w:rFonts w:ascii="Times New Roman" w:hAnsi="Times New Roman" w:hint="default"/>
      </w:rPr>
    </w:lvl>
    <w:lvl w:ilvl="2" w:tplc="A0DA574A" w:tentative="1">
      <w:start w:val="1"/>
      <w:numFmt w:val="bullet"/>
      <w:lvlText w:val="•"/>
      <w:lvlJc w:val="left"/>
      <w:pPr>
        <w:tabs>
          <w:tab w:val="num" w:pos="2160"/>
        </w:tabs>
        <w:ind w:left="2160" w:hanging="360"/>
      </w:pPr>
      <w:rPr>
        <w:rFonts w:ascii="Times New Roman" w:hAnsi="Times New Roman" w:hint="default"/>
      </w:rPr>
    </w:lvl>
    <w:lvl w:ilvl="3" w:tplc="3E243F6C" w:tentative="1">
      <w:start w:val="1"/>
      <w:numFmt w:val="bullet"/>
      <w:lvlText w:val="•"/>
      <w:lvlJc w:val="left"/>
      <w:pPr>
        <w:tabs>
          <w:tab w:val="num" w:pos="2880"/>
        </w:tabs>
        <w:ind w:left="2880" w:hanging="360"/>
      </w:pPr>
      <w:rPr>
        <w:rFonts w:ascii="Times New Roman" w:hAnsi="Times New Roman" w:hint="default"/>
      </w:rPr>
    </w:lvl>
    <w:lvl w:ilvl="4" w:tplc="977026EE" w:tentative="1">
      <w:start w:val="1"/>
      <w:numFmt w:val="bullet"/>
      <w:lvlText w:val="•"/>
      <w:lvlJc w:val="left"/>
      <w:pPr>
        <w:tabs>
          <w:tab w:val="num" w:pos="3600"/>
        </w:tabs>
        <w:ind w:left="3600" w:hanging="360"/>
      </w:pPr>
      <w:rPr>
        <w:rFonts w:ascii="Times New Roman" w:hAnsi="Times New Roman" w:hint="default"/>
      </w:rPr>
    </w:lvl>
    <w:lvl w:ilvl="5" w:tplc="C592EAB0" w:tentative="1">
      <w:start w:val="1"/>
      <w:numFmt w:val="bullet"/>
      <w:lvlText w:val="•"/>
      <w:lvlJc w:val="left"/>
      <w:pPr>
        <w:tabs>
          <w:tab w:val="num" w:pos="4320"/>
        </w:tabs>
        <w:ind w:left="4320" w:hanging="360"/>
      </w:pPr>
      <w:rPr>
        <w:rFonts w:ascii="Times New Roman" w:hAnsi="Times New Roman" w:hint="default"/>
      </w:rPr>
    </w:lvl>
    <w:lvl w:ilvl="6" w:tplc="DFBCAFF4" w:tentative="1">
      <w:start w:val="1"/>
      <w:numFmt w:val="bullet"/>
      <w:lvlText w:val="•"/>
      <w:lvlJc w:val="left"/>
      <w:pPr>
        <w:tabs>
          <w:tab w:val="num" w:pos="5040"/>
        </w:tabs>
        <w:ind w:left="5040" w:hanging="360"/>
      </w:pPr>
      <w:rPr>
        <w:rFonts w:ascii="Times New Roman" w:hAnsi="Times New Roman" w:hint="default"/>
      </w:rPr>
    </w:lvl>
    <w:lvl w:ilvl="7" w:tplc="AE4C1F52" w:tentative="1">
      <w:start w:val="1"/>
      <w:numFmt w:val="bullet"/>
      <w:lvlText w:val="•"/>
      <w:lvlJc w:val="left"/>
      <w:pPr>
        <w:tabs>
          <w:tab w:val="num" w:pos="5760"/>
        </w:tabs>
        <w:ind w:left="5760" w:hanging="360"/>
      </w:pPr>
      <w:rPr>
        <w:rFonts w:ascii="Times New Roman" w:hAnsi="Times New Roman" w:hint="default"/>
      </w:rPr>
    </w:lvl>
    <w:lvl w:ilvl="8" w:tplc="DFA0B59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81F074D"/>
    <w:multiLevelType w:val="multilevel"/>
    <w:tmpl w:val="B2E8216A"/>
    <w:lvl w:ilvl="0">
      <w:start w:val="1"/>
      <w:numFmt w:val="decimal"/>
      <w:lvlText w:val="%1."/>
      <w:lvlJc w:val="left"/>
      <w:pPr>
        <w:ind w:left="360" w:hanging="360"/>
      </w:pPr>
      <w:rPr>
        <w:rFonts w:hint="default"/>
        <w:b/>
        <w:i w:val="0"/>
        <w:sz w:val="24"/>
      </w:rPr>
    </w:lvl>
    <w:lvl w:ilvl="1">
      <w:start w:val="1"/>
      <w:numFmt w:val="bullet"/>
      <w:lvlText w:val="n"/>
      <w:lvlJc w:val="left"/>
      <w:pPr>
        <w:ind w:left="680" w:hanging="320"/>
      </w:pPr>
      <w:rPr>
        <w:rFonts w:ascii="Wingdings" w:hAnsi="Wingdings" w:hint="default"/>
        <w:color w:val="F88E2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A235DDA"/>
    <w:multiLevelType w:val="hybridMultilevel"/>
    <w:tmpl w:val="5EF67330"/>
    <w:lvl w:ilvl="0" w:tplc="FFFFFFFF">
      <w:start w:val="1"/>
      <w:numFmt w:val="decimal"/>
      <w:lvlText w:val="%1."/>
      <w:lvlJc w:val="left"/>
      <w:pPr>
        <w:ind w:left="720" w:hanging="360"/>
      </w:pPr>
      <w:rPr>
        <w:rFonts w:hint="default"/>
        <w:b/>
      </w:rPr>
    </w:lvl>
    <w:lvl w:ilvl="1" w:tplc="08090005">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7975C2"/>
    <w:multiLevelType w:val="hybridMultilevel"/>
    <w:tmpl w:val="890C2024"/>
    <w:lvl w:ilvl="0" w:tplc="7DF224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C8D75E9"/>
    <w:multiLevelType w:val="hybridMultilevel"/>
    <w:tmpl w:val="765E63C6"/>
    <w:lvl w:ilvl="0" w:tplc="711A5FEE">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A2097C"/>
    <w:multiLevelType w:val="hybridMultilevel"/>
    <w:tmpl w:val="D8F24EF8"/>
    <w:lvl w:ilvl="0" w:tplc="A6849A8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140140"/>
    <w:multiLevelType w:val="multilevel"/>
    <w:tmpl w:val="61569BD4"/>
    <w:styleLink w:val="CurrentList1"/>
    <w:lvl w:ilvl="0">
      <w:start w:val="1"/>
      <w:numFmt w:val="bullet"/>
      <w:lvlText w:val=""/>
      <w:lvlJc w:val="left"/>
      <w:pPr>
        <w:ind w:left="8280" w:hanging="360"/>
      </w:pPr>
      <w:rPr>
        <w:rFonts w:ascii="Wingdings" w:hAnsi="Wingdings" w:hint="default"/>
      </w:rPr>
    </w:lvl>
    <w:lvl w:ilvl="1">
      <w:start w:val="1"/>
      <w:numFmt w:val="bullet"/>
      <w:lvlText w:val="o"/>
      <w:lvlJc w:val="left"/>
      <w:pPr>
        <w:ind w:left="9000" w:hanging="360"/>
      </w:pPr>
      <w:rPr>
        <w:rFonts w:ascii="Courier New" w:hAnsi="Courier New" w:hint="default"/>
      </w:rPr>
    </w:lvl>
    <w:lvl w:ilvl="2">
      <w:start w:val="1"/>
      <w:numFmt w:val="bullet"/>
      <w:lvlText w:val=""/>
      <w:lvlJc w:val="left"/>
      <w:pPr>
        <w:ind w:left="9720" w:hanging="360"/>
      </w:pPr>
      <w:rPr>
        <w:rFonts w:ascii="Wingdings" w:hAnsi="Wingdings" w:hint="default"/>
      </w:rPr>
    </w:lvl>
    <w:lvl w:ilvl="3">
      <w:start w:val="1"/>
      <w:numFmt w:val="bullet"/>
      <w:lvlText w:val=""/>
      <w:lvlJc w:val="left"/>
      <w:pPr>
        <w:ind w:left="10440" w:hanging="360"/>
      </w:pPr>
      <w:rPr>
        <w:rFonts w:ascii="Symbol" w:hAnsi="Symbol" w:hint="default"/>
      </w:rPr>
    </w:lvl>
    <w:lvl w:ilvl="4">
      <w:start w:val="1"/>
      <w:numFmt w:val="bullet"/>
      <w:lvlText w:val="o"/>
      <w:lvlJc w:val="left"/>
      <w:pPr>
        <w:ind w:left="11160" w:hanging="360"/>
      </w:pPr>
      <w:rPr>
        <w:rFonts w:ascii="Courier New" w:hAnsi="Courier New" w:hint="default"/>
      </w:rPr>
    </w:lvl>
    <w:lvl w:ilvl="5">
      <w:start w:val="1"/>
      <w:numFmt w:val="bullet"/>
      <w:lvlText w:val=""/>
      <w:lvlJc w:val="left"/>
      <w:pPr>
        <w:ind w:left="11880" w:hanging="360"/>
      </w:pPr>
      <w:rPr>
        <w:rFonts w:ascii="Wingdings" w:hAnsi="Wingdings" w:hint="default"/>
      </w:rPr>
    </w:lvl>
    <w:lvl w:ilvl="6">
      <w:start w:val="1"/>
      <w:numFmt w:val="bullet"/>
      <w:lvlText w:val=""/>
      <w:lvlJc w:val="left"/>
      <w:pPr>
        <w:ind w:left="12600" w:hanging="360"/>
      </w:pPr>
      <w:rPr>
        <w:rFonts w:ascii="Symbol" w:hAnsi="Symbol" w:hint="default"/>
      </w:rPr>
    </w:lvl>
    <w:lvl w:ilvl="7">
      <w:start w:val="1"/>
      <w:numFmt w:val="bullet"/>
      <w:lvlText w:val="o"/>
      <w:lvlJc w:val="left"/>
      <w:pPr>
        <w:ind w:left="13320" w:hanging="360"/>
      </w:pPr>
      <w:rPr>
        <w:rFonts w:ascii="Courier New" w:hAnsi="Courier New" w:hint="default"/>
      </w:rPr>
    </w:lvl>
    <w:lvl w:ilvl="8">
      <w:start w:val="1"/>
      <w:numFmt w:val="bullet"/>
      <w:lvlText w:val=""/>
      <w:lvlJc w:val="left"/>
      <w:pPr>
        <w:ind w:left="14040" w:hanging="360"/>
      </w:pPr>
      <w:rPr>
        <w:rFonts w:ascii="Wingdings" w:hAnsi="Wingdings" w:hint="default"/>
      </w:rPr>
    </w:lvl>
  </w:abstractNum>
  <w:abstractNum w:abstractNumId="35" w15:restartNumberingAfterBreak="0">
    <w:nsid w:val="69872AE2"/>
    <w:multiLevelType w:val="hybridMultilevel"/>
    <w:tmpl w:val="BEA69BA6"/>
    <w:lvl w:ilvl="0" w:tplc="FFFFFFFF">
      <w:start w:val="1"/>
      <w:numFmt w:val="decimal"/>
      <w:lvlText w:val="%1."/>
      <w:lvlJc w:val="left"/>
      <w:pPr>
        <w:ind w:left="720" w:hanging="360"/>
      </w:pPr>
      <w:rPr>
        <w:rFonts w:hint="default"/>
        <w:b/>
      </w:rPr>
    </w:lvl>
    <w:lvl w:ilvl="1" w:tplc="08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6F6016"/>
    <w:multiLevelType w:val="multilevel"/>
    <w:tmpl w:val="B2E8216A"/>
    <w:lvl w:ilvl="0">
      <w:start w:val="1"/>
      <w:numFmt w:val="decimal"/>
      <w:lvlText w:val="%1."/>
      <w:lvlJc w:val="left"/>
      <w:pPr>
        <w:ind w:left="360" w:hanging="360"/>
      </w:pPr>
      <w:rPr>
        <w:rFonts w:hint="default"/>
        <w:b/>
        <w:i w:val="0"/>
        <w:sz w:val="24"/>
      </w:rPr>
    </w:lvl>
    <w:lvl w:ilvl="1">
      <w:start w:val="1"/>
      <w:numFmt w:val="bullet"/>
      <w:lvlText w:val="n"/>
      <w:lvlJc w:val="left"/>
      <w:pPr>
        <w:ind w:left="680" w:hanging="320"/>
      </w:pPr>
      <w:rPr>
        <w:rFonts w:ascii="Wingdings" w:hAnsi="Wingdings" w:hint="default"/>
        <w:color w:val="F88E2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CB04B6"/>
    <w:multiLevelType w:val="multilevel"/>
    <w:tmpl w:val="639A83AA"/>
    <w:styleLink w:val="CurrentList2"/>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CD02531"/>
    <w:multiLevelType w:val="multilevel"/>
    <w:tmpl w:val="0524914E"/>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75D0A"/>
    <w:multiLevelType w:val="multilevel"/>
    <w:tmpl w:val="EC90E29C"/>
    <w:lvl w:ilvl="0">
      <w:start w:val="1"/>
      <w:numFmt w:val="decimal"/>
      <w:lvlText w:val="%1."/>
      <w:lvlJc w:val="left"/>
      <w:pPr>
        <w:ind w:left="360" w:hanging="360"/>
      </w:pPr>
      <w:rPr>
        <w:rFonts w:hint="default"/>
        <w:b/>
        <w:i w:val="0"/>
        <w:sz w:val="24"/>
      </w:rPr>
    </w:lvl>
    <w:lvl w:ilvl="1">
      <w:start w:val="1"/>
      <w:numFmt w:val="bullet"/>
      <w:lvlText w:val="n"/>
      <w:lvlJc w:val="left"/>
      <w:pPr>
        <w:ind w:left="680" w:hanging="320"/>
      </w:pPr>
      <w:rPr>
        <w:rFonts w:ascii="Wingdings" w:hAnsi="Wingdings" w:hint="default"/>
        <w:color w:val="F88E29"/>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B4D1607"/>
    <w:multiLevelType w:val="multilevel"/>
    <w:tmpl w:val="73BEA8EE"/>
    <w:lvl w:ilvl="0">
      <w:start w:val="1"/>
      <w:numFmt w:val="bullet"/>
      <w:lvlText w:val=""/>
      <w:lvlJc w:val="left"/>
      <w:pPr>
        <w:ind w:left="144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F92010"/>
    <w:multiLevelType w:val="hybridMultilevel"/>
    <w:tmpl w:val="59B4ADF2"/>
    <w:lvl w:ilvl="0" w:tplc="FFFFFFFF">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9"/>
  </w:num>
  <w:num w:numId="3">
    <w:abstractNumId w:val="24"/>
  </w:num>
  <w:num w:numId="4">
    <w:abstractNumId w:val="35"/>
  </w:num>
  <w:num w:numId="5">
    <w:abstractNumId w:val="11"/>
  </w:num>
  <w:num w:numId="6">
    <w:abstractNumId w:val="20"/>
  </w:num>
  <w:num w:numId="7">
    <w:abstractNumId w:val="31"/>
  </w:num>
  <w:num w:numId="8">
    <w:abstractNumId w:val="33"/>
  </w:num>
  <w:num w:numId="9">
    <w:abstractNumId w:val="2"/>
  </w:num>
  <w:num w:numId="10">
    <w:abstractNumId w:val="29"/>
  </w:num>
  <w:num w:numId="11">
    <w:abstractNumId w:val="4"/>
  </w:num>
  <w:num w:numId="12">
    <w:abstractNumId w:val="41"/>
  </w:num>
  <w:num w:numId="13">
    <w:abstractNumId w:val="30"/>
  </w:num>
  <w:num w:numId="14">
    <w:abstractNumId w:val="9"/>
  </w:num>
  <w:num w:numId="15">
    <w:abstractNumId w:val="40"/>
  </w:num>
  <w:num w:numId="16">
    <w:abstractNumId w:val="13"/>
  </w:num>
  <w:num w:numId="17">
    <w:abstractNumId w:val="5"/>
  </w:num>
  <w:num w:numId="18">
    <w:abstractNumId w:val="28"/>
  </w:num>
  <w:num w:numId="19">
    <w:abstractNumId w:val="18"/>
  </w:num>
  <w:num w:numId="20">
    <w:abstractNumId w:val="17"/>
  </w:num>
  <w:num w:numId="21">
    <w:abstractNumId w:val="12"/>
  </w:num>
  <w:num w:numId="22">
    <w:abstractNumId w:val="6"/>
  </w:num>
  <w:num w:numId="23">
    <w:abstractNumId w:val="21"/>
  </w:num>
  <w:num w:numId="24">
    <w:abstractNumId w:val="22"/>
  </w:num>
  <w:num w:numId="25">
    <w:abstractNumId w:val="34"/>
  </w:num>
  <w:num w:numId="26">
    <w:abstractNumId w:val="39"/>
  </w:num>
  <w:num w:numId="27">
    <w:abstractNumId w:val="14"/>
  </w:num>
  <w:num w:numId="28">
    <w:abstractNumId w:val="37"/>
  </w:num>
  <w:num w:numId="29">
    <w:abstractNumId w:val="38"/>
  </w:num>
  <w:num w:numId="30">
    <w:abstractNumId w:val="8"/>
  </w:num>
  <w:num w:numId="31">
    <w:abstractNumId w:val="36"/>
  </w:num>
  <w:num w:numId="32">
    <w:abstractNumId w:val="27"/>
  </w:num>
  <w:num w:numId="33">
    <w:abstractNumId w:val="1"/>
  </w:num>
  <w:num w:numId="34">
    <w:abstractNumId w:val="15"/>
  </w:num>
  <w:num w:numId="35">
    <w:abstractNumId w:val="23"/>
  </w:num>
  <w:num w:numId="36">
    <w:abstractNumId w:val="26"/>
  </w:num>
  <w:num w:numId="37">
    <w:abstractNumId w:val="25"/>
  </w:num>
  <w:num w:numId="38">
    <w:abstractNumId w:val="7"/>
  </w:num>
  <w:num w:numId="39">
    <w:abstractNumId w:val="16"/>
  </w:num>
  <w:num w:numId="40">
    <w:abstractNumId w:val="32"/>
  </w:num>
  <w:num w:numId="41">
    <w:abstractNumId w:val="10"/>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D98"/>
    <w:rsid w:val="00002855"/>
    <w:rsid w:val="00016C55"/>
    <w:rsid w:val="00033181"/>
    <w:rsid w:val="00033EBB"/>
    <w:rsid w:val="00052CD7"/>
    <w:rsid w:val="000556A6"/>
    <w:rsid w:val="00092CD7"/>
    <w:rsid w:val="000934A6"/>
    <w:rsid w:val="000B540F"/>
    <w:rsid w:val="000D5069"/>
    <w:rsid w:val="000F5EB9"/>
    <w:rsid w:val="0010153E"/>
    <w:rsid w:val="001100EF"/>
    <w:rsid w:val="001109D7"/>
    <w:rsid w:val="0011571F"/>
    <w:rsid w:val="00126170"/>
    <w:rsid w:val="001359C6"/>
    <w:rsid w:val="0014014A"/>
    <w:rsid w:val="001573AB"/>
    <w:rsid w:val="00165214"/>
    <w:rsid w:val="00167CBE"/>
    <w:rsid w:val="0018565F"/>
    <w:rsid w:val="001A20D7"/>
    <w:rsid w:val="001B5BF3"/>
    <w:rsid w:val="001C156A"/>
    <w:rsid w:val="001C7377"/>
    <w:rsid w:val="001C79CD"/>
    <w:rsid w:val="001D6DD5"/>
    <w:rsid w:val="001E7E23"/>
    <w:rsid w:val="00205D4B"/>
    <w:rsid w:val="002305DB"/>
    <w:rsid w:val="00231480"/>
    <w:rsid w:val="002A223D"/>
    <w:rsid w:val="002A4C5C"/>
    <w:rsid w:val="002C1D16"/>
    <w:rsid w:val="002D2D90"/>
    <w:rsid w:val="002E617D"/>
    <w:rsid w:val="002F1702"/>
    <w:rsid w:val="00325C13"/>
    <w:rsid w:val="00330FB4"/>
    <w:rsid w:val="00371A18"/>
    <w:rsid w:val="00393C99"/>
    <w:rsid w:val="00396047"/>
    <w:rsid w:val="003A5615"/>
    <w:rsid w:val="003B4CAC"/>
    <w:rsid w:val="003E1591"/>
    <w:rsid w:val="003F214C"/>
    <w:rsid w:val="00402CE3"/>
    <w:rsid w:val="00404FD9"/>
    <w:rsid w:val="00411083"/>
    <w:rsid w:val="004127DE"/>
    <w:rsid w:val="00427C8F"/>
    <w:rsid w:val="00460631"/>
    <w:rsid w:val="00461812"/>
    <w:rsid w:val="00461A29"/>
    <w:rsid w:val="00464AED"/>
    <w:rsid w:val="00492A9B"/>
    <w:rsid w:val="004A7F00"/>
    <w:rsid w:val="004C65F5"/>
    <w:rsid w:val="004D7D72"/>
    <w:rsid w:val="004F33CC"/>
    <w:rsid w:val="004F4C65"/>
    <w:rsid w:val="005145C7"/>
    <w:rsid w:val="005433C5"/>
    <w:rsid w:val="0057616A"/>
    <w:rsid w:val="00581DA6"/>
    <w:rsid w:val="005A486E"/>
    <w:rsid w:val="005B5DA1"/>
    <w:rsid w:val="005E5393"/>
    <w:rsid w:val="005E6985"/>
    <w:rsid w:val="006352AD"/>
    <w:rsid w:val="00636153"/>
    <w:rsid w:val="0066742D"/>
    <w:rsid w:val="006A6415"/>
    <w:rsid w:val="00705349"/>
    <w:rsid w:val="00710E09"/>
    <w:rsid w:val="0071353F"/>
    <w:rsid w:val="00763E36"/>
    <w:rsid w:val="0079757D"/>
    <w:rsid w:val="007B1AA8"/>
    <w:rsid w:val="007D324B"/>
    <w:rsid w:val="007D68FB"/>
    <w:rsid w:val="007D7042"/>
    <w:rsid w:val="007F1982"/>
    <w:rsid w:val="00802F4F"/>
    <w:rsid w:val="0081183C"/>
    <w:rsid w:val="0081259A"/>
    <w:rsid w:val="00812F38"/>
    <w:rsid w:val="00820375"/>
    <w:rsid w:val="00821D98"/>
    <w:rsid w:val="008462E8"/>
    <w:rsid w:val="00855A88"/>
    <w:rsid w:val="008715C1"/>
    <w:rsid w:val="00875C47"/>
    <w:rsid w:val="00876189"/>
    <w:rsid w:val="008A3B23"/>
    <w:rsid w:val="008B7E73"/>
    <w:rsid w:val="008D32B3"/>
    <w:rsid w:val="008E4335"/>
    <w:rsid w:val="009001F7"/>
    <w:rsid w:val="00906605"/>
    <w:rsid w:val="009166B4"/>
    <w:rsid w:val="00952CC8"/>
    <w:rsid w:val="00955517"/>
    <w:rsid w:val="00963F0F"/>
    <w:rsid w:val="00965B58"/>
    <w:rsid w:val="00977BD7"/>
    <w:rsid w:val="009C0886"/>
    <w:rsid w:val="009D0210"/>
    <w:rsid w:val="009E0D23"/>
    <w:rsid w:val="009F05A8"/>
    <w:rsid w:val="009F5D46"/>
    <w:rsid w:val="00A370EC"/>
    <w:rsid w:val="00A402F7"/>
    <w:rsid w:val="00A728FD"/>
    <w:rsid w:val="00A97DBF"/>
    <w:rsid w:val="00AB540F"/>
    <w:rsid w:val="00AE3AE4"/>
    <w:rsid w:val="00B032A9"/>
    <w:rsid w:val="00B32EF9"/>
    <w:rsid w:val="00B37ADE"/>
    <w:rsid w:val="00B57AA2"/>
    <w:rsid w:val="00B648D6"/>
    <w:rsid w:val="00B8199F"/>
    <w:rsid w:val="00BA3E28"/>
    <w:rsid w:val="00BC30C6"/>
    <w:rsid w:val="00BD735A"/>
    <w:rsid w:val="00BE74BB"/>
    <w:rsid w:val="00C30934"/>
    <w:rsid w:val="00C36B54"/>
    <w:rsid w:val="00C46331"/>
    <w:rsid w:val="00C6784F"/>
    <w:rsid w:val="00C70D0E"/>
    <w:rsid w:val="00C7188B"/>
    <w:rsid w:val="00CB1C9C"/>
    <w:rsid w:val="00CC4161"/>
    <w:rsid w:val="00CC7828"/>
    <w:rsid w:val="00CD592B"/>
    <w:rsid w:val="00CF4E09"/>
    <w:rsid w:val="00D0257F"/>
    <w:rsid w:val="00D0526C"/>
    <w:rsid w:val="00D162D7"/>
    <w:rsid w:val="00D273B7"/>
    <w:rsid w:val="00D33A27"/>
    <w:rsid w:val="00D44D9F"/>
    <w:rsid w:val="00D51D8A"/>
    <w:rsid w:val="00D8260E"/>
    <w:rsid w:val="00D93C11"/>
    <w:rsid w:val="00D979F7"/>
    <w:rsid w:val="00DA077E"/>
    <w:rsid w:val="00DA50BB"/>
    <w:rsid w:val="00DD0EC5"/>
    <w:rsid w:val="00DE5770"/>
    <w:rsid w:val="00E14724"/>
    <w:rsid w:val="00E37134"/>
    <w:rsid w:val="00EC4C6D"/>
    <w:rsid w:val="00EE2674"/>
    <w:rsid w:val="00F225FE"/>
    <w:rsid w:val="00F77C88"/>
    <w:rsid w:val="00F82C57"/>
    <w:rsid w:val="00F972B7"/>
    <w:rsid w:val="00FB1A60"/>
    <w:rsid w:val="00FC0D73"/>
    <w:rsid w:val="00FC2FDA"/>
    <w:rsid w:val="00FE0C08"/>
    <w:rsid w:val="00FF112C"/>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6E3F0"/>
  <w15:chartTrackingRefBased/>
  <w15:docId w15:val="{5DA8D05D-A782-994B-8523-D8CC6D63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C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81"/>
  </w:style>
  <w:style w:type="paragraph" w:styleId="Heading1">
    <w:name w:val="heading 1"/>
    <w:basedOn w:val="Normal"/>
    <w:next w:val="Normal"/>
    <w:link w:val="Heading1Char"/>
    <w:uiPriority w:val="9"/>
    <w:qFormat/>
    <w:rsid w:val="0003318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03318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03318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03318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03318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03318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03318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03318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03318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4C6D"/>
    <w:pPr>
      <w:tabs>
        <w:tab w:val="center" w:pos="4513"/>
        <w:tab w:val="right" w:pos="9026"/>
      </w:tabs>
    </w:pPr>
  </w:style>
  <w:style w:type="character" w:customStyle="1" w:styleId="FooterChar">
    <w:name w:val="Footer Char"/>
    <w:basedOn w:val="DefaultParagraphFont"/>
    <w:link w:val="Footer"/>
    <w:uiPriority w:val="99"/>
    <w:rsid w:val="00EC4C6D"/>
  </w:style>
  <w:style w:type="character" w:styleId="PageNumber">
    <w:name w:val="page number"/>
    <w:basedOn w:val="DefaultParagraphFont"/>
    <w:uiPriority w:val="99"/>
    <w:semiHidden/>
    <w:unhideWhenUsed/>
    <w:rsid w:val="00EC4C6D"/>
  </w:style>
  <w:style w:type="character" w:customStyle="1" w:styleId="Heading1Char">
    <w:name w:val="Heading 1 Char"/>
    <w:basedOn w:val="DefaultParagraphFont"/>
    <w:link w:val="Heading1"/>
    <w:uiPriority w:val="9"/>
    <w:rsid w:val="00033181"/>
    <w:rPr>
      <w:smallCaps/>
      <w:spacing w:val="5"/>
      <w:sz w:val="36"/>
      <w:szCs w:val="36"/>
    </w:rPr>
  </w:style>
  <w:style w:type="character" w:customStyle="1" w:styleId="Heading2Char">
    <w:name w:val="Heading 2 Char"/>
    <w:basedOn w:val="DefaultParagraphFont"/>
    <w:link w:val="Heading2"/>
    <w:uiPriority w:val="9"/>
    <w:semiHidden/>
    <w:rsid w:val="00033181"/>
    <w:rPr>
      <w:smallCaps/>
      <w:sz w:val="28"/>
      <w:szCs w:val="28"/>
    </w:rPr>
  </w:style>
  <w:style w:type="character" w:customStyle="1" w:styleId="Heading3Char">
    <w:name w:val="Heading 3 Char"/>
    <w:basedOn w:val="DefaultParagraphFont"/>
    <w:link w:val="Heading3"/>
    <w:uiPriority w:val="9"/>
    <w:semiHidden/>
    <w:rsid w:val="00033181"/>
    <w:rPr>
      <w:i/>
      <w:iCs/>
      <w:smallCaps/>
      <w:spacing w:val="5"/>
      <w:sz w:val="26"/>
      <w:szCs w:val="26"/>
    </w:rPr>
  </w:style>
  <w:style w:type="character" w:customStyle="1" w:styleId="Heading4Char">
    <w:name w:val="Heading 4 Char"/>
    <w:basedOn w:val="DefaultParagraphFont"/>
    <w:link w:val="Heading4"/>
    <w:uiPriority w:val="9"/>
    <w:semiHidden/>
    <w:rsid w:val="00033181"/>
    <w:rPr>
      <w:b/>
      <w:bCs/>
      <w:spacing w:val="5"/>
      <w:sz w:val="24"/>
      <w:szCs w:val="24"/>
    </w:rPr>
  </w:style>
  <w:style w:type="character" w:customStyle="1" w:styleId="Heading5Char">
    <w:name w:val="Heading 5 Char"/>
    <w:basedOn w:val="DefaultParagraphFont"/>
    <w:link w:val="Heading5"/>
    <w:uiPriority w:val="9"/>
    <w:semiHidden/>
    <w:rsid w:val="00033181"/>
    <w:rPr>
      <w:i/>
      <w:iCs/>
      <w:sz w:val="24"/>
      <w:szCs w:val="24"/>
    </w:rPr>
  </w:style>
  <w:style w:type="character" w:customStyle="1" w:styleId="Heading6Char">
    <w:name w:val="Heading 6 Char"/>
    <w:basedOn w:val="DefaultParagraphFont"/>
    <w:link w:val="Heading6"/>
    <w:uiPriority w:val="9"/>
    <w:semiHidden/>
    <w:rsid w:val="0003318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03318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033181"/>
    <w:rPr>
      <w:b/>
      <w:bCs/>
      <w:color w:val="7F7F7F" w:themeColor="text1" w:themeTint="80"/>
      <w:sz w:val="20"/>
      <w:szCs w:val="20"/>
    </w:rPr>
  </w:style>
  <w:style w:type="character" w:customStyle="1" w:styleId="Heading9Char">
    <w:name w:val="Heading 9 Char"/>
    <w:basedOn w:val="DefaultParagraphFont"/>
    <w:link w:val="Heading9"/>
    <w:uiPriority w:val="9"/>
    <w:semiHidden/>
    <w:rsid w:val="00033181"/>
    <w:rPr>
      <w:b/>
      <w:bCs/>
      <w:i/>
      <w:iCs/>
      <w:color w:val="7F7F7F" w:themeColor="text1" w:themeTint="80"/>
      <w:sz w:val="18"/>
      <w:szCs w:val="18"/>
    </w:rPr>
  </w:style>
  <w:style w:type="paragraph" w:styleId="Caption">
    <w:name w:val="caption"/>
    <w:basedOn w:val="Normal"/>
    <w:next w:val="Normal"/>
    <w:uiPriority w:val="35"/>
    <w:semiHidden/>
    <w:unhideWhenUsed/>
    <w:rsid w:val="00033181"/>
    <w:pPr>
      <w:spacing w:line="240" w:lineRule="auto"/>
    </w:pPr>
    <w:rPr>
      <w:rFonts w:eastAsiaTheme="minorEastAsia"/>
      <w:b/>
      <w:bCs/>
      <w:smallCaps/>
      <w:color w:val="335B74" w:themeColor="text2"/>
      <w:spacing w:val="6"/>
      <w:szCs w:val="18"/>
    </w:rPr>
  </w:style>
  <w:style w:type="paragraph" w:styleId="Title">
    <w:name w:val="Title"/>
    <w:basedOn w:val="Normal"/>
    <w:next w:val="Normal"/>
    <w:link w:val="TitleChar"/>
    <w:uiPriority w:val="10"/>
    <w:qFormat/>
    <w:rsid w:val="0003318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033181"/>
    <w:rPr>
      <w:smallCaps/>
      <w:sz w:val="52"/>
      <w:szCs w:val="52"/>
    </w:rPr>
  </w:style>
  <w:style w:type="paragraph" w:styleId="Subtitle">
    <w:name w:val="Subtitle"/>
    <w:basedOn w:val="Normal"/>
    <w:next w:val="Normal"/>
    <w:link w:val="SubtitleChar"/>
    <w:uiPriority w:val="11"/>
    <w:qFormat/>
    <w:rsid w:val="00033181"/>
    <w:rPr>
      <w:i/>
      <w:iCs/>
      <w:smallCaps/>
      <w:spacing w:val="10"/>
      <w:sz w:val="28"/>
      <w:szCs w:val="28"/>
    </w:rPr>
  </w:style>
  <w:style w:type="character" w:customStyle="1" w:styleId="SubtitleChar">
    <w:name w:val="Subtitle Char"/>
    <w:basedOn w:val="DefaultParagraphFont"/>
    <w:link w:val="Subtitle"/>
    <w:uiPriority w:val="11"/>
    <w:rsid w:val="00033181"/>
    <w:rPr>
      <w:i/>
      <w:iCs/>
      <w:smallCaps/>
      <w:spacing w:val="10"/>
      <w:sz w:val="28"/>
      <w:szCs w:val="28"/>
    </w:rPr>
  </w:style>
  <w:style w:type="character" w:styleId="Strong">
    <w:name w:val="Strong"/>
    <w:uiPriority w:val="22"/>
    <w:qFormat/>
    <w:rsid w:val="00033181"/>
    <w:rPr>
      <w:b/>
      <w:bCs/>
    </w:rPr>
  </w:style>
  <w:style w:type="character" w:styleId="Emphasis">
    <w:name w:val="Emphasis"/>
    <w:uiPriority w:val="20"/>
    <w:qFormat/>
    <w:rsid w:val="00033181"/>
    <w:rPr>
      <w:b/>
      <w:bCs/>
      <w:i/>
      <w:iCs/>
      <w:spacing w:val="10"/>
    </w:rPr>
  </w:style>
  <w:style w:type="paragraph" w:styleId="NoSpacing">
    <w:name w:val="No Spacing"/>
    <w:basedOn w:val="Normal"/>
    <w:link w:val="NoSpacingChar"/>
    <w:uiPriority w:val="1"/>
    <w:qFormat/>
    <w:rsid w:val="00033181"/>
    <w:pPr>
      <w:spacing w:after="0" w:line="240" w:lineRule="auto"/>
    </w:pPr>
  </w:style>
  <w:style w:type="paragraph" w:styleId="ListParagraph">
    <w:name w:val="List Paragraph"/>
    <w:basedOn w:val="Normal"/>
    <w:uiPriority w:val="34"/>
    <w:qFormat/>
    <w:rsid w:val="00033181"/>
    <w:pPr>
      <w:ind w:left="720"/>
      <w:contextualSpacing/>
    </w:pPr>
  </w:style>
  <w:style w:type="paragraph" w:styleId="Quote">
    <w:name w:val="Quote"/>
    <w:basedOn w:val="Normal"/>
    <w:next w:val="Normal"/>
    <w:link w:val="QuoteChar"/>
    <w:uiPriority w:val="29"/>
    <w:qFormat/>
    <w:rsid w:val="00033181"/>
    <w:rPr>
      <w:i/>
      <w:iCs/>
    </w:rPr>
  </w:style>
  <w:style w:type="character" w:customStyle="1" w:styleId="QuoteChar">
    <w:name w:val="Quote Char"/>
    <w:basedOn w:val="DefaultParagraphFont"/>
    <w:link w:val="Quote"/>
    <w:uiPriority w:val="29"/>
    <w:rsid w:val="00033181"/>
    <w:rPr>
      <w:i/>
      <w:iCs/>
    </w:rPr>
  </w:style>
  <w:style w:type="paragraph" w:styleId="IntenseQuote">
    <w:name w:val="Intense Quote"/>
    <w:basedOn w:val="Normal"/>
    <w:next w:val="Normal"/>
    <w:link w:val="IntenseQuoteChar"/>
    <w:uiPriority w:val="30"/>
    <w:qFormat/>
    <w:rsid w:val="0003318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033181"/>
    <w:rPr>
      <w:i/>
      <w:iCs/>
    </w:rPr>
  </w:style>
  <w:style w:type="character" w:styleId="SubtleEmphasis">
    <w:name w:val="Subtle Emphasis"/>
    <w:uiPriority w:val="19"/>
    <w:qFormat/>
    <w:rsid w:val="00033181"/>
    <w:rPr>
      <w:i/>
      <w:iCs/>
    </w:rPr>
  </w:style>
  <w:style w:type="character" w:styleId="IntenseEmphasis">
    <w:name w:val="Intense Emphasis"/>
    <w:uiPriority w:val="21"/>
    <w:qFormat/>
    <w:rsid w:val="00033181"/>
    <w:rPr>
      <w:b/>
      <w:bCs/>
      <w:i/>
      <w:iCs/>
    </w:rPr>
  </w:style>
  <w:style w:type="character" w:styleId="SubtleReference">
    <w:name w:val="Subtle Reference"/>
    <w:basedOn w:val="DefaultParagraphFont"/>
    <w:uiPriority w:val="31"/>
    <w:qFormat/>
    <w:rsid w:val="00033181"/>
    <w:rPr>
      <w:smallCaps/>
    </w:rPr>
  </w:style>
  <w:style w:type="character" w:styleId="IntenseReference">
    <w:name w:val="Intense Reference"/>
    <w:uiPriority w:val="32"/>
    <w:qFormat/>
    <w:rsid w:val="00033181"/>
    <w:rPr>
      <w:b/>
      <w:bCs/>
      <w:smallCaps/>
    </w:rPr>
  </w:style>
  <w:style w:type="character" w:styleId="BookTitle">
    <w:name w:val="Book Title"/>
    <w:basedOn w:val="DefaultParagraphFont"/>
    <w:uiPriority w:val="33"/>
    <w:qFormat/>
    <w:rsid w:val="00033181"/>
    <w:rPr>
      <w:i/>
      <w:iCs/>
      <w:smallCaps/>
      <w:spacing w:val="5"/>
    </w:rPr>
  </w:style>
  <w:style w:type="paragraph" w:styleId="TOCHeading">
    <w:name w:val="TOC Heading"/>
    <w:basedOn w:val="Heading1"/>
    <w:next w:val="Normal"/>
    <w:uiPriority w:val="39"/>
    <w:unhideWhenUsed/>
    <w:qFormat/>
    <w:rsid w:val="00033181"/>
    <w:pPr>
      <w:outlineLvl w:val="9"/>
    </w:pPr>
  </w:style>
  <w:style w:type="character" w:customStyle="1" w:styleId="NoSpacingChar">
    <w:name w:val="No Spacing Char"/>
    <w:basedOn w:val="DefaultParagraphFont"/>
    <w:link w:val="NoSpacing"/>
    <w:uiPriority w:val="1"/>
    <w:rsid w:val="00033181"/>
  </w:style>
  <w:style w:type="paragraph" w:customStyle="1" w:styleId="PersonalName">
    <w:name w:val="Personal Name"/>
    <w:basedOn w:val="Title"/>
    <w:rsid w:val="00033181"/>
    <w:rPr>
      <w:b/>
      <w:caps/>
      <w:color w:val="000000"/>
      <w:sz w:val="28"/>
      <w:szCs w:val="28"/>
    </w:rPr>
  </w:style>
  <w:style w:type="paragraph" w:styleId="TOC2">
    <w:name w:val="toc 2"/>
    <w:basedOn w:val="Normal"/>
    <w:next w:val="Normal"/>
    <w:autoRedefine/>
    <w:uiPriority w:val="39"/>
    <w:unhideWhenUsed/>
    <w:rsid w:val="00DA50BB"/>
    <w:pPr>
      <w:spacing w:before="120" w:after="0"/>
      <w:ind w:left="220"/>
    </w:pPr>
    <w:rPr>
      <w:rFonts w:asciiTheme="minorHAnsi" w:hAnsiTheme="minorHAnsi"/>
      <w:b/>
      <w:bCs/>
    </w:rPr>
  </w:style>
  <w:style w:type="paragraph" w:styleId="TOC1">
    <w:name w:val="toc 1"/>
    <w:basedOn w:val="Normal"/>
    <w:next w:val="Normal"/>
    <w:autoRedefine/>
    <w:uiPriority w:val="39"/>
    <w:unhideWhenUsed/>
    <w:rsid w:val="00DA50BB"/>
    <w:pPr>
      <w:spacing w:before="120" w:after="0"/>
    </w:pPr>
    <w:rPr>
      <w:rFonts w:asciiTheme="minorHAnsi" w:hAnsiTheme="minorHAnsi"/>
      <w:b/>
      <w:bCs/>
      <w:i/>
      <w:iCs/>
      <w:sz w:val="24"/>
      <w:szCs w:val="24"/>
    </w:rPr>
  </w:style>
  <w:style w:type="paragraph" w:styleId="TOC3">
    <w:name w:val="toc 3"/>
    <w:basedOn w:val="Normal"/>
    <w:next w:val="Normal"/>
    <w:autoRedefine/>
    <w:uiPriority w:val="39"/>
    <w:unhideWhenUsed/>
    <w:rsid w:val="00033181"/>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DA50BB"/>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DA50B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DA50B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DA50B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DA50B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DA50BB"/>
    <w:pPr>
      <w:spacing w:after="0"/>
      <w:ind w:left="1760"/>
    </w:pPr>
    <w:rPr>
      <w:rFonts w:asciiTheme="minorHAnsi" w:hAnsiTheme="minorHAnsi"/>
      <w:sz w:val="20"/>
      <w:szCs w:val="20"/>
    </w:rPr>
  </w:style>
  <w:style w:type="paragraph" w:styleId="NormalWeb">
    <w:name w:val="Normal (Web)"/>
    <w:basedOn w:val="Normal"/>
    <w:uiPriority w:val="99"/>
    <w:unhideWhenUsed/>
    <w:rsid w:val="009F5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F5D46"/>
  </w:style>
  <w:style w:type="paragraph" w:styleId="Header">
    <w:name w:val="header"/>
    <w:basedOn w:val="Normal"/>
    <w:link w:val="HeaderChar"/>
    <w:uiPriority w:val="99"/>
    <w:unhideWhenUsed/>
    <w:rsid w:val="001A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0D7"/>
  </w:style>
  <w:style w:type="numbering" w:customStyle="1" w:styleId="CurrentList1">
    <w:name w:val="Current List1"/>
    <w:uiPriority w:val="99"/>
    <w:rsid w:val="00875C47"/>
    <w:pPr>
      <w:numPr>
        <w:numId w:val="25"/>
      </w:numPr>
    </w:pPr>
  </w:style>
  <w:style w:type="numbering" w:customStyle="1" w:styleId="CurrentList2">
    <w:name w:val="Current List2"/>
    <w:uiPriority w:val="99"/>
    <w:rsid w:val="00167CBE"/>
    <w:pPr>
      <w:numPr>
        <w:numId w:val="28"/>
      </w:numPr>
    </w:pPr>
  </w:style>
  <w:style w:type="numbering" w:customStyle="1" w:styleId="CurrentList3">
    <w:name w:val="Current List3"/>
    <w:uiPriority w:val="99"/>
    <w:rsid w:val="00167CBE"/>
    <w:pPr>
      <w:numPr>
        <w:numId w:val="29"/>
      </w:numPr>
    </w:pPr>
  </w:style>
  <w:style w:type="numbering" w:customStyle="1" w:styleId="CurrentList4">
    <w:name w:val="Current List4"/>
    <w:uiPriority w:val="99"/>
    <w:rsid w:val="00F972B7"/>
    <w:pPr>
      <w:numPr>
        <w:numId w:val="35"/>
      </w:numPr>
    </w:pPr>
  </w:style>
  <w:style w:type="paragraph" w:styleId="FootnoteText">
    <w:name w:val="footnote text"/>
    <w:basedOn w:val="Normal"/>
    <w:link w:val="FootnoteTextChar"/>
    <w:uiPriority w:val="99"/>
    <w:semiHidden/>
    <w:unhideWhenUsed/>
    <w:rsid w:val="002A2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23D"/>
    <w:rPr>
      <w:sz w:val="20"/>
      <w:szCs w:val="20"/>
    </w:rPr>
  </w:style>
  <w:style w:type="character" w:styleId="FootnoteReference">
    <w:name w:val="footnote reference"/>
    <w:basedOn w:val="DefaultParagraphFont"/>
    <w:uiPriority w:val="99"/>
    <w:semiHidden/>
    <w:unhideWhenUsed/>
    <w:rsid w:val="002A2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68487">
      <w:bodyDiv w:val="1"/>
      <w:marLeft w:val="0"/>
      <w:marRight w:val="0"/>
      <w:marTop w:val="0"/>
      <w:marBottom w:val="0"/>
      <w:divBdr>
        <w:top w:val="none" w:sz="0" w:space="0" w:color="auto"/>
        <w:left w:val="none" w:sz="0" w:space="0" w:color="auto"/>
        <w:bottom w:val="none" w:sz="0" w:space="0" w:color="auto"/>
        <w:right w:val="none" w:sz="0" w:space="0" w:color="auto"/>
      </w:divBdr>
      <w:divsChild>
        <w:div w:id="875973797">
          <w:marLeft w:val="547"/>
          <w:marRight w:val="0"/>
          <w:marTop w:val="0"/>
          <w:marBottom w:val="0"/>
          <w:divBdr>
            <w:top w:val="none" w:sz="0" w:space="0" w:color="auto"/>
            <w:left w:val="none" w:sz="0" w:space="0" w:color="auto"/>
            <w:bottom w:val="none" w:sz="0" w:space="0" w:color="auto"/>
            <w:right w:val="none" w:sz="0" w:space="0" w:color="auto"/>
          </w:divBdr>
        </w:div>
        <w:div w:id="110982117">
          <w:marLeft w:val="1166"/>
          <w:marRight w:val="0"/>
          <w:marTop w:val="0"/>
          <w:marBottom w:val="0"/>
          <w:divBdr>
            <w:top w:val="none" w:sz="0" w:space="0" w:color="auto"/>
            <w:left w:val="none" w:sz="0" w:space="0" w:color="auto"/>
            <w:bottom w:val="none" w:sz="0" w:space="0" w:color="auto"/>
            <w:right w:val="none" w:sz="0" w:space="0" w:color="auto"/>
          </w:divBdr>
        </w:div>
        <w:div w:id="1341271848">
          <w:marLeft w:val="1166"/>
          <w:marRight w:val="0"/>
          <w:marTop w:val="0"/>
          <w:marBottom w:val="0"/>
          <w:divBdr>
            <w:top w:val="none" w:sz="0" w:space="0" w:color="auto"/>
            <w:left w:val="none" w:sz="0" w:space="0" w:color="auto"/>
            <w:bottom w:val="none" w:sz="0" w:space="0" w:color="auto"/>
            <w:right w:val="none" w:sz="0" w:space="0" w:color="auto"/>
          </w:divBdr>
        </w:div>
        <w:div w:id="131990838">
          <w:marLeft w:val="1166"/>
          <w:marRight w:val="0"/>
          <w:marTop w:val="0"/>
          <w:marBottom w:val="0"/>
          <w:divBdr>
            <w:top w:val="none" w:sz="0" w:space="0" w:color="auto"/>
            <w:left w:val="none" w:sz="0" w:space="0" w:color="auto"/>
            <w:bottom w:val="none" w:sz="0" w:space="0" w:color="auto"/>
            <w:right w:val="none" w:sz="0" w:space="0" w:color="auto"/>
          </w:divBdr>
        </w:div>
        <w:div w:id="1744182912">
          <w:marLeft w:val="1166"/>
          <w:marRight w:val="0"/>
          <w:marTop w:val="0"/>
          <w:marBottom w:val="0"/>
          <w:divBdr>
            <w:top w:val="none" w:sz="0" w:space="0" w:color="auto"/>
            <w:left w:val="none" w:sz="0" w:space="0" w:color="auto"/>
            <w:bottom w:val="none" w:sz="0" w:space="0" w:color="auto"/>
            <w:right w:val="none" w:sz="0" w:space="0" w:color="auto"/>
          </w:divBdr>
        </w:div>
      </w:divsChild>
    </w:div>
    <w:div w:id="462433036">
      <w:bodyDiv w:val="1"/>
      <w:marLeft w:val="0"/>
      <w:marRight w:val="0"/>
      <w:marTop w:val="0"/>
      <w:marBottom w:val="0"/>
      <w:divBdr>
        <w:top w:val="none" w:sz="0" w:space="0" w:color="auto"/>
        <w:left w:val="none" w:sz="0" w:space="0" w:color="auto"/>
        <w:bottom w:val="none" w:sz="0" w:space="0" w:color="auto"/>
        <w:right w:val="none" w:sz="0" w:space="0" w:color="auto"/>
      </w:divBdr>
      <w:divsChild>
        <w:div w:id="982927616">
          <w:marLeft w:val="547"/>
          <w:marRight w:val="0"/>
          <w:marTop w:val="0"/>
          <w:marBottom w:val="0"/>
          <w:divBdr>
            <w:top w:val="none" w:sz="0" w:space="0" w:color="auto"/>
            <w:left w:val="none" w:sz="0" w:space="0" w:color="auto"/>
            <w:bottom w:val="none" w:sz="0" w:space="0" w:color="auto"/>
            <w:right w:val="none" w:sz="0" w:space="0" w:color="auto"/>
          </w:divBdr>
        </w:div>
      </w:divsChild>
    </w:div>
    <w:div w:id="720907125">
      <w:bodyDiv w:val="1"/>
      <w:marLeft w:val="0"/>
      <w:marRight w:val="0"/>
      <w:marTop w:val="0"/>
      <w:marBottom w:val="0"/>
      <w:divBdr>
        <w:top w:val="none" w:sz="0" w:space="0" w:color="auto"/>
        <w:left w:val="none" w:sz="0" w:space="0" w:color="auto"/>
        <w:bottom w:val="none" w:sz="0" w:space="0" w:color="auto"/>
        <w:right w:val="none" w:sz="0" w:space="0" w:color="auto"/>
      </w:divBdr>
      <w:divsChild>
        <w:div w:id="833881857">
          <w:marLeft w:val="547"/>
          <w:marRight w:val="0"/>
          <w:marTop w:val="0"/>
          <w:marBottom w:val="0"/>
          <w:divBdr>
            <w:top w:val="none" w:sz="0" w:space="0" w:color="auto"/>
            <w:left w:val="none" w:sz="0" w:space="0" w:color="auto"/>
            <w:bottom w:val="none" w:sz="0" w:space="0" w:color="auto"/>
            <w:right w:val="none" w:sz="0" w:space="0" w:color="auto"/>
          </w:divBdr>
        </w:div>
      </w:divsChild>
    </w:div>
    <w:div w:id="912004009">
      <w:bodyDiv w:val="1"/>
      <w:marLeft w:val="0"/>
      <w:marRight w:val="0"/>
      <w:marTop w:val="0"/>
      <w:marBottom w:val="0"/>
      <w:divBdr>
        <w:top w:val="none" w:sz="0" w:space="0" w:color="auto"/>
        <w:left w:val="none" w:sz="0" w:space="0" w:color="auto"/>
        <w:bottom w:val="none" w:sz="0" w:space="0" w:color="auto"/>
        <w:right w:val="none" w:sz="0" w:space="0" w:color="auto"/>
      </w:divBdr>
      <w:divsChild>
        <w:div w:id="1824737153">
          <w:marLeft w:val="547"/>
          <w:marRight w:val="0"/>
          <w:marTop w:val="0"/>
          <w:marBottom w:val="0"/>
          <w:divBdr>
            <w:top w:val="none" w:sz="0" w:space="0" w:color="auto"/>
            <w:left w:val="none" w:sz="0" w:space="0" w:color="auto"/>
            <w:bottom w:val="none" w:sz="0" w:space="0" w:color="auto"/>
            <w:right w:val="none" w:sz="0" w:space="0" w:color="auto"/>
          </w:divBdr>
        </w:div>
      </w:divsChild>
    </w:div>
    <w:div w:id="928269069">
      <w:bodyDiv w:val="1"/>
      <w:marLeft w:val="0"/>
      <w:marRight w:val="0"/>
      <w:marTop w:val="0"/>
      <w:marBottom w:val="0"/>
      <w:divBdr>
        <w:top w:val="none" w:sz="0" w:space="0" w:color="auto"/>
        <w:left w:val="none" w:sz="0" w:space="0" w:color="auto"/>
        <w:bottom w:val="none" w:sz="0" w:space="0" w:color="auto"/>
        <w:right w:val="none" w:sz="0" w:space="0" w:color="auto"/>
      </w:divBdr>
      <w:divsChild>
        <w:div w:id="574172568">
          <w:marLeft w:val="547"/>
          <w:marRight w:val="0"/>
          <w:marTop w:val="0"/>
          <w:marBottom w:val="0"/>
          <w:divBdr>
            <w:top w:val="none" w:sz="0" w:space="0" w:color="auto"/>
            <w:left w:val="none" w:sz="0" w:space="0" w:color="auto"/>
            <w:bottom w:val="none" w:sz="0" w:space="0" w:color="auto"/>
            <w:right w:val="none" w:sz="0" w:space="0" w:color="auto"/>
          </w:divBdr>
        </w:div>
      </w:divsChild>
    </w:div>
    <w:div w:id="1017580623">
      <w:bodyDiv w:val="1"/>
      <w:marLeft w:val="0"/>
      <w:marRight w:val="0"/>
      <w:marTop w:val="0"/>
      <w:marBottom w:val="0"/>
      <w:divBdr>
        <w:top w:val="none" w:sz="0" w:space="0" w:color="auto"/>
        <w:left w:val="none" w:sz="0" w:space="0" w:color="auto"/>
        <w:bottom w:val="none" w:sz="0" w:space="0" w:color="auto"/>
        <w:right w:val="none" w:sz="0" w:space="0" w:color="auto"/>
      </w:divBdr>
      <w:divsChild>
        <w:div w:id="173034252">
          <w:marLeft w:val="547"/>
          <w:marRight w:val="0"/>
          <w:marTop w:val="0"/>
          <w:marBottom w:val="0"/>
          <w:divBdr>
            <w:top w:val="none" w:sz="0" w:space="0" w:color="auto"/>
            <w:left w:val="none" w:sz="0" w:space="0" w:color="auto"/>
            <w:bottom w:val="none" w:sz="0" w:space="0" w:color="auto"/>
            <w:right w:val="none" w:sz="0" w:space="0" w:color="auto"/>
          </w:divBdr>
        </w:div>
      </w:divsChild>
    </w:div>
    <w:div w:id="1865437181">
      <w:bodyDiv w:val="1"/>
      <w:marLeft w:val="0"/>
      <w:marRight w:val="0"/>
      <w:marTop w:val="0"/>
      <w:marBottom w:val="0"/>
      <w:divBdr>
        <w:top w:val="none" w:sz="0" w:space="0" w:color="auto"/>
        <w:left w:val="none" w:sz="0" w:space="0" w:color="auto"/>
        <w:bottom w:val="none" w:sz="0" w:space="0" w:color="auto"/>
        <w:right w:val="none" w:sz="0" w:space="0" w:color="auto"/>
      </w:divBdr>
      <w:divsChild>
        <w:div w:id="283584113">
          <w:marLeft w:val="446"/>
          <w:marRight w:val="0"/>
          <w:marTop w:val="0"/>
          <w:marBottom w:val="120"/>
          <w:divBdr>
            <w:top w:val="none" w:sz="0" w:space="0" w:color="auto"/>
            <w:left w:val="none" w:sz="0" w:space="0" w:color="auto"/>
            <w:bottom w:val="none" w:sz="0" w:space="0" w:color="auto"/>
            <w:right w:val="none" w:sz="0" w:space="0" w:color="auto"/>
          </w:divBdr>
        </w:div>
        <w:div w:id="33584712">
          <w:marLeft w:val="446"/>
          <w:marRight w:val="0"/>
          <w:marTop w:val="0"/>
          <w:marBottom w:val="120"/>
          <w:divBdr>
            <w:top w:val="none" w:sz="0" w:space="0" w:color="auto"/>
            <w:left w:val="none" w:sz="0" w:space="0" w:color="auto"/>
            <w:bottom w:val="none" w:sz="0" w:space="0" w:color="auto"/>
            <w:right w:val="none" w:sz="0" w:space="0" w:color="auto"/>
          </w:divBdr>
        </w:div>
        <w:div w:id="1038169098">
          <w:marLeft w:val="446"/>
          <w:marRight w:val="0"/>
          <w:marTop w:val="0"/>
          <w:marBottom w:val="120"/>
          <w:divBdr>
            <w:top w:val="none" w:sz="0" w:space="0" w:color="auto"/>
            <w:left w:val="none" w:sz="0" w:space="0" w:color="auto"/>
            <w:bottom w:val="none" w:sz="0" w:space="0" w:color="auto"/>
            <w:right w:val="none" w:sz="0" w:space="0" w:color="auto"/>
          </w:divBdr>
        </w:div>
        <w:div w:id="1912420423">
          <w:marLeft w:val="446"/>
          <w:marRight w:val="0"/>
          <w:marTop w:val="0"/>
          <w:marBottom w:val="120"/>
          <w:divBdr>
            <w:top w:val="none" w:sz="0" w:space="0" w:color="auto"/>
            <w:left w:val="none" w:sz="0" w:space="0" w:color="auto"/>
            <w:bottom w:val="none" w:sz="0" w:space="0" w:color="auto"/>
            <w:right w:val="none" w:sz="0" w:space="0" w:color="auto"/>
          </w:divBdr>
        </w:div>
        <w:div w:id="2117290547">
          <w:marLeft w:val="446"/>
          <w:marRight w:val="0"/>
          <w:marTop w:val="0"/>
          <w:marBottom w:val="120"/>
          <w:divBdr>
            <w:top w:val="none" w:sz="0" w:space="0" w:color="auto"/>
            <w:left w:val="none" w:sz="0" w:space="0" w:color="auto"/>
            <w:bottom w:val="none" w:sz="0" w:space="0" w:color="auto"/>
            <w:right w:val="none" w:sz="0" w:space="0" w:color="auto"/>
          </w:divBdr>
        </w:div>
        <w:div w:id="1621843438">
          <w:marLeft w:val="446"/>
          <w:marRight w:val="0"/>
          <w:marTop w:val="0"/>
          <w:marBottom w:val="120"/>
          <w:divBdr>
            <w:top w:val="none" w:sz="0" w:space="0" w:color="auto"/>
            <w:left w:val="none" w:sz="0" w:space="0" w:color="auto"/>
            <w:bottom w:val="none" w:sz="0" w:space="0" w:color="auto"/>
            <w:right w:val="none" w:sz="0" w:space="0" w:color="auto"/>
          </w:divBdr>
        </w:div>
        <w:div w:id="1362168733">
          <w:marLeft w:val="1886"/>
          <w:marRight w:val="0"/>
          <w:marTop w:val="0"/>
          <w:marBottom w:val="120"/>
          <w:divBdr>
            <w:top w:val="none" w:sz="0" w:space="0" w:color="auto"/>
            <w:left w:val="none" w:sz="0" w:space="0" w:color="auto"/>
            <w:bottom w:val="none" w:sz="0" w:space="0" w:color="auto"/>
            <w:right w:val="none" w:sz="0" w:space="0" w:color="auto"/>
          </w:divBdr>
        </w:div>
        <w:div w:id="1511213730">
          <w:marLeft w:val="1886"/>
          <w:marRight w:val="0"/>
          <w:marTop w:val="0"/>
          <w:marBottom w:val="120"/>
          <w:divBdr>
            <w:top w:val="none" w:sz="0" w:space="0" w:color="auto"/>
            <w:left w:val="none" w:sz="0" w:space="0" w:color="auto"/>
            <w:bottom w:val="none" w:sz="0" w:space="0" w:color="auto"/>
            <w:right w:val="none" w:sz="0" w:space="0" w:color="auto"/>
          </w:divBdr>
        </w:div>
        <w:div w:id="146630672">
          <w:marLeft w:val="1886"/>
          <w:marRight w:val="0"/>
          <w:marTop w:val="0"/>
          <w:marBottom w:val="120"/>
          <w:divBdr>
            <w:top w:val="none" w:sz="0" w:space="0" w:color="auto"/>
            <w:left w:val="none" w:sz="0" w:space="0" w:color="auto"/>
            <w:bottom w:val="none" w:sz="0" w:space="0" w:color="auto"/>
            <w:right w:val="none" w:sz="0" w:space="0" w:color="auto"/>
          </w:divBdr>
        </w:div>
        <w:div w:id="1507357011">
          <w:marLeft w:val="1886"/>
          <w:marRight w:val="0"/>
          <w:marTop w:val="0"/>
          <w:marBottom w:val="120"/>
          <w:divBdr>
            <w:top w:val="none" w:sz="0" w:space="0" w:color="auto"/>
            <w:left w:val="none" w:sz="0" w:space="0" w:color="auto"/>
            <w:bottom w:val="none" w:sz="0" w:space="0" w:color="auto"/>
            <w:right w:val="none" w:sz="0" w:space="0" w:color="auto"/>
          </w:divBdr>
        </w:div>
        <w:div w:id="1670019837">
          <w:marLeft w:val="1886"/>
          <w:marRight w:val="0"/>
          <w:marTop w:val="0"/>
          <w:marBottom w:val="120"/>
          <w:divBdr>
            <w:top w:val="none" w:sz="0" w:space="0" w:color="auto"/>
            <w:left w:val="none" w:sz="0" w:space="0" w:color="auto"/>
            <w:bottom w:val="none" w:sz="0" w:space="0" w:color="auto"/>
            <w:right w:val="none" w:sz="0" w:space="0" w:color="auto"/>
          </w:divBdr>
        </w:div>
      </w:divsChild>
    </w:div>
    <w:div w:id="1962612248">
      <w:bodyDiv w:val="1"/>
      <w:marLeft w:val="0"/>
      <w:marRight w:val="0"/>
      <w:marTop w:val="0"/>
      <w:marBottom w:val="0"/>
      <w:divBdr>
        <w:top w:val="none" w:sz="0" w:space="0" w:color="auto"/>
        <w:left w:val="none" w:sz="0" w:space="0" w:color="auto"/>
        <w:bottom w:val="none" w:sz="0" w:space="0" w:color="auto"/>
        <w:right w:val="none" w:sz="0" w:space="0" w:color="auto"/>
      </w:divBdr>
      <w:divsChild>
        <w:div w:id="1062212501">
          <w:marLeft w:val="446"/>
          <w:marRight w:val="0"/>
          <w:marTop w:val="0"/>
          <w:marBottom w:val="120"/>
          <w:divBdr>
            <w:top w:val="none" w:sz="0" w:space="0" w:color="auto"/>
            <w:left w:val="none" w:sz="0" w:space="0" w:color="auto"/>
            <w:bottom w:val="none" w:sz="0" w:space="0" w:color="auto"/>
            <w:right w:val="none" w:sz="0" w:space="0" w:color="auto"/>
          </w:divBdr>
        </w:div>
        <w:div w:id="1912740305">
          <w:marLeft w:val="446"/>
          <w:marRight w:val="0"/>
          <w:marTop w:val="0"/>
          <w:marBottom w:val="120"/>
          <w:divBdr>
            <w:top w:val="none" w:sz="0" w:space="0" w:color="auto"/>
            <w:left w:val="none" w:sz="0" w:space="0" w:color="auto"/>
            <w:bottom w:val="none" w:sz="0" w:space="0" w:color="auto"/>
            <w:right w:val="none" w:sz="0" w:space="0" w:color="auto"/>
          </w:divBdr>
        </w:div>
        <w:div w:id="821774929">
          <w:marLeft w:val="446"/>
          <w:marRight w:val="0"/>
          <w:marTop w:val="0"/>
          <w:marBottom w:val="120"/>
          <w:divBdr>
            <w:top w:val="none" w:sz="0" w:space="0" w:color="auto"/>
            <w:left w:val="none" w:sz="0" w:space="0" w:color="auto"/>
            <w:bottom w:val="none" w:sz="0" w:space="0" w:color="auto"/>
            <w:right w:val="none" w:sz="0" w:space="0" w:color="auto"/>
          </w:divBdr>
        </w:div>
        <w:div w:id="1542210197">
          <w:marLeft w:val="446"/>
          <w:marRight w:val="0"/>
          <w:marTop w:val="0"/>
          <w:marBottom w:val="120"/>
          <w:divBdr>
            <w:top w:val="none" w:sz="0" w:space="0" w:color="auto"/>
            <w:left w:val="none" w:sz="0" w:space="0" w:color="auto"/>
            <w:bottom w:val="none" w:sz="0" w:space="0" w:color="auto"/>
            <w:right w:val="none" w:sz="0" w:space="0" w:color="auto"/>
          </w:divBdr>
        </w:div>
        <w:div w:id="959920861">
          <w:marLeft w:val="446"/>
          <w:marRight w:val="0"/>
          <w:marTop w:val="0"/>
          <w:marBottom w:val="120"/>
          <w:divBdr>
            <w:top w:val="none" w:sz="0" w:space="0" w:color="auto"/>
            <w:left w:val="none" w:sz="0" w:space="0" w:color="auto"/>
            <w:bottom w:val="none" w:sz="0" w:space="0" w:color="auto"/>
            <w:right w:val="none" w:sz="0" w:space="0" w:color="auto"/>
          </w:divBdr>
        </w:div>
        <w:div w:id="1453940091">
          <w:marLeft w:val="446"/>
          <w:marRight w:val="0"/>
          <w:marTop w:val="0"/>
          <w:marBottom w:val="120"/>
          <w:divBdr>
            <w:top w:val="none" w:sz="0" w:space="0" w:color="auto"/>
            <w:left w:val="none" w:sz="0" w:space="0" w:color="auto"/>
            <w:bottom w:val="none" w:sz="0" w:space="0" w:color="auto"/>
            <w:right w:val="none" w:sz="0" w:space="0" w:color="auto"/>
          </w:divBdr>
        </w:div>
        <w:div w:id="1407919577">
          <w:marLeft w:val="446"/>
          <w:marRight w:val="0"/>
          <w:marTop w:val="0"/>
          <w:marBottom w:val="120"/>
          <w:divBdr>
            <w:top w:val="none" w:sz="0" w:space="0" w:color="auto"/>
            <w:left w:val="none" w:sz="0" w:space="0" w:color="auto"/>
            <w:bottom w:val="none" w:sz="0" w:space="0" w:color="auto"/>
            <w:right w:val="none" w:sz="0" w:space="0" w:color="auto"/>
          </w:divBdr>
        </w:div>
        <w:div w:id="999120944">
          <w:marLeft w:val="3326"/>
          <w:marRight w:val="0"/>
          <w:marTop w:val="0"/>
          <w:marBottom w:val="120"/>
          <w:divBdr>
            <w:top w:val="none" w:sz="0" w:space="0" w:color="auto"/>
            <w:left w:val="none" w:sz="0" w:space="0" w:color="auto"/>
            <w:bottom w:val="none" w:sz="0" w:space="0" w:color="auto"/>
            <w:right w:val="none" w:sz="0" w:space="0" w:color="auto"/>
          </w:divBdr>
        </w:div>
        <w:div w:id="5404735">
          <w:marLeft w:val="3326"/>
          <w:marRight w:val="0"/>
          <w:marTop w:val="0"/>
          <w:marBottom w:val="120"/>
          <w:divBdr>
            <w:top w:val="none" w:sz="0" w:space="0" w:color="auto"/>
            <w:left w:val="none" w:sz="0" w:space="0" w:color="auto"/>
            <w:bottom w:val="none" w:sz="0" w:space="0" w:color="auto"/>
            <w:right w:val="none" w:sz="0" w:space="0" w:color="auto"/>
          </w:divBdr>
        </w:div>
        <w:div w:id="219021626">
          <w:marLeft w:val="3326"/>
          <w:marRight w:val="0"/>
          <w:marTop w:val="0"/>
          <w:marBottom w:val="120"/>
          <w:divBdr>
            <w:top w:val="none" w:sz="0" w:space="0" w:color="auto"/>
            <w:left w:val="none" w:sz="0" w:space="0" w:color="auto"/>
            <w:bottom w:val="none" w:sz="0" w:space="0" w:color="auto"/>
            <w:right w:val="none" w:sz="0" w:space="0" w:color="auto"/>
          </w:divBdr>
        </w:div>
        <w:div w:id="2111701976">
          <w:marLeft w:val="3326"/>
          <w:marRight w:val="0"/>
          <w:marTop w:val="0"/>
          <w:marBottom w:val="120"/>
          <w:divBdr>
            <w:top w:val="none" w:sz="0" w:space="0" w:color="auto"/>
            <w:left w:val="none" w:sz="0" w:space="0" w:color="auto"/>
            <w:bottom w:val="none" w:sz="0" w:space="0" w:color="auto"/>
            <w:right w:val="none" w:sz="0" w:space="0" w:color="auto"/>
          </w:divBdr>
        </w:div>
        <w:div w:id="1266306866">
          <w:marLeft w:val="3326"/>
          <w:marRight w:val="0"/>
          <w:marTop w:val="0"/>
          <w:marBottom w:val="120"/>
          <w:divBdr>
            <w:top w:val="none" w:sz="0" w:space="0" w:color="auto"/>
            <w:left w:val="none" w:sz="0" w:space="0" w:color="auto"/>
            <w:bottom w:val="none" w:sz="0" w:space="0" w:color="auto"/>
            <w:right w:val="none" w:sz="0" w:space="0" w:color="auto"/>
          </w:divBdr>
        </w:div>
        <w:div w:id="1860197497">
          <w:marLeft w:val="3326"/>
          <w:marRight w:val="0"/>
          <w:marTop w:val="0"/>
          <w:marBottom w:val="120"/>
          <w:divBdr>
            <w:top w:val="none" w:sz="0" w:space="0" w:color="auto"/>
            <w:left w:val="none" w:sz="0" w:space="0" w:color="auto"/>
            <w:bottom w:val="none" w:sz="0" w:space="0" w:color="auto"/>
            <w:right w:val="none" w:sz="0" w:space="0" w:color="auto"/>
          </w:divBdr>
        </w:div>
        <w:div w:id="2091733253">
          <w:marLeft w:val="3326"/>
          <w:marRight w:val="0"/>
          <w:marTop w:val="0"/>
          <w:marBottom w:val="120"/>
          <w:divBdr>
            <w:top w:val="none" w:sz="0" w:space="0" w:color="auto"/>
            <w:left w:val="none" w:sz="0" w:space="0" w:color="auto"/>
            <w:bottom w:val="none" w:sz="0" w:space="0" w:color="auto"/>
            <w:right w:val="none" w:sz="0" w:space="0" w:color="auto"/>
          </w:divBdr>
        </w:div>
        <w:div w:id="150753366">
          <w:marLeft w:val="3326"/>
          <w:marRight w:val="0"/>
          <w:marTop w:val="0"/>
          <w:marBottom w:val="120"/>
          <w:divBdr>
            <w:top w:val="none" w:sz="0" w:space="0" w:color="auto"/>
            <w:left w:val="none" w:sz="0" w:space="0" w:color="auto"/>
            <w:bottom w:val="none" w:sz="0" w:space="0" w:color="auto"/>
            <w:right w:val="none" w:sz="0" w:space="0" w:color="auto"/>
          </w:divBdr>
        </w:div>
        <w:div w:id="1412434634">
          <w:marLeft w:val="3326"/>
          <w:marRight w:val="0"/>
          <w:marTop w:val="0"/>
          <w:marBottom w:val="120"/>
          <w:divBdr>
            <w:top w:val="none" w:sz="0" w:space="0" w:color="auto"/>
            <w:left w:val="none" w:sz="0" w:space="0" w:color="auto"/>
            <w:bottom w:val="none" w:sz="0" w:space="0" w:color="auto"/>
            <w:right w:val="none" w:sz="0" w:space="0" w:color="auto"/>
          </w:divBdr>
        </w:div>
        <w:div w:id="954991239">
          <w:marLeft w:val="332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Users/mariaefstathiou/Desktop/Work/Topics/Housing%20/Property%20Prices%20ECB.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ariaefstathiou/Desktop/Work/Data_Figures/HH%20arrears.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ariaefstathiou/Desktop/Work/Topics/Housing%20/HHCostBorrow.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Residential</a:t>
            </a:r>
            <a:r>
              <a:rPr lang="en-US" sz="1200" baseline="0"/>
              <a:t> Property Prices (2005=100) </a:t>
            </a:r>
          </a:p>
          <a:p>
            <a:pPr>
              <a:defRPr/>
            </a:pPr>
            <a:r>
              <a:rPr lang="en-US" sz="800" baseline="0"/>
              <a:t>ECB DW</a:t>
            </a:r>
            <a:endParaRPr lang="en-GB" sz="800"/>
          </a:p>
        </c:rich>
      </c:tx>
      <c:layout>
        <c:manualLayout>
          <c:xMode val="edge"/>
          <c:yMode val="edge"/>
          <c:x val="0.25499563677775194"/>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Y"/>
        </a:p>
      </c:txPr>
    </c:title>
    <c:autoTitleDeleted val="0"/>
    <c:plotArea>
      <c:layout>
        <c:manualLayout>
          <c:layoutTarget val="inner"/>
          <c:xMode val="edge"/>
          <c:yMode val="edge"/>
          <c:x val="0"/>
          <c:y val="9.8890717205686304E-2"/>
          <c:w val="0.9459937068849209"/>
          <c:h val="0.80034230316412525"/>
        </c:manualLayout>
      </c:layout>
      <c:lineChart>
        <c:grouping val="standard"/>
        <c:varyColors val="0"/>
        <c:ser>
          <c:idx val="0"/>
          <c:order val="0"/>
          <c:spPr>
            <a:ln w="28575" cap="rnd">
              <a:solidFill>
                <a:schemeClr val="accent1"/>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EB-AB41-92D4-0F364221E030}"/>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EB-AB41-92D4-0F364221E030}"/>
                </c:ext>
              </c:extLst>
            </c:dLbl>
            <c:dLbl>
              <c:idx val="2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EB-AB41-92D4-0F364221E030}"/>
                </c:ext>
              </c:extLst>
            </c:dLbl>
            <c:dLbl>
              <c:idx val="4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EB-AB41-92D4-0F364221E0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data!$A$7:$A$52</c:f>
              <c:strCache>
                <c:ptCount val="46"/>
                <c:pt idx="0">
                  <c:v>2021Q2</c:v>
                </c:pt>
                <c:pt idx="1">
                  <c:v>2021Q1</c:v>
                </c:pt>
                <c:pt idx="2">
                  <c:v>2020Q4</c:v>
                </c:pt>
                <c:pt idx="3">
                  <c:v>2020Q3</c:v>
                </c:pt>
                <c:pt idx="4">
                  <c:v>2020Q2</c:v>
                </c:pt>
                <c:pt idx="5">
                  <c:v>2020Q1</c:v>
                </c:pt>
                <c:pt idx="6">
                  <c:v>2019Q4</c:v>
                </c:pt>
                <c:pt idx="7">
                  <c:v>2019Q3</c:v>
                </c:pt>
                <c:pt idx="8">
                  <c:v>2019Q2</c:v>
                </c:pt>
                <c:pt idx="9">
                  <c:v>2019Q1</c:v>
                </c:pt>
                <c:pt idx="10">
                  <c:v>2018Q4</c:v>
                </c:pt>
                <c:pt idx="11">
                  <c:v>2018Q3</c:v>
                </c:pt>
                <c:pt idx="12">
                  <c:v>2018Q2</c:v>
                </c:pt>
                <c:pt idx="13">
                  <c:v>2018Q1</c:v>
                </c:pt>
                <c:pt idx="14">
                  <c:v>2017Q4</c:v>
                </c:pt>
                <c:pt idx="15">
                  <c:v>2017Q3</c:v>
                </c:pt>
                <c:pt idx="16">
                  <c:v>2017Q2</c:v>
                </c:pt>
                <c:pt idx="17">
                  <c:v>2017Q1</c:v>
                </c:pt>
                <c:pt idx="18">
                  <c:v>2016Q4</c:v>
                </c:pt>
                <c:pt idx="19">
                  <c:v>2016Q3</c:v>
                </c:pt>
                <c:pt idx="20">
                  <c:v>2016Q2</c:v>
                </c:pt>
                <c:pt idx="21">
                  <c:v>2016Q1</c:v>
                </c:pt>
                <c:pt idx="22">
                  <c:v>2015Q4</c:v>
                </c:pt>
                <c:pt idx="23">
                  <c:v>2015Q3</c:v>
                </c:pt>
                <c:pt idx="24">
                  <c:v>2015Q2</c:v>
                </c:pt>
                <c:pt idx="25">
                  <c:v>2015Q1</c:v>
                </c:pt>
                <c:pt idx="26">
                  <c:v>2014Q4</c:v>
                </c:pt>
                <c:pt idx="27">
                  <c:v>2014Q3</c:v>
                </c:pt>
                <c:pt idx="28">
                  <c:v>2014Q2</c:v>
                </c:pt>
                <c:pt idx="29">
                  <c:v>2014Q1</c:v>
                </c:pt>
                <c:pt idx="30">
                  <c:v>2013Q4</c:v>
                </c:pt>
                <c:pt idx="31">
                  <c:v>2013Q3</c:v>
                </c:pt>
                <c:pt idx="32">
                  <c:v>2013Q2</c:v>
                </c:pt>
                <c:pt idx="33">
                  <c:v>2013Q1</c:v>
                </c:pt>
                <c:pt idx="34">
                  <c:v>2012Q4</c:v>
                </c:pt>
                <c:pt idx="35">
                  <c:v>2012Q3</c:v>
                </c:pt>
                <c:pt idx="36">
                  <c:v>2012Q2</c:v>
                </c:pt>
                <c:pt idx="37">
                  <c:v>2012Q1</c:v>
                </c:pt>
                <c:pt idx="38">
                  <c:v>2011Q4</c:v>
                </c:pt>
                <c:pt idx="39">
                  <c:v>2011Q3</c:v>
                </c:pt>
                <c:pt idx="40">
                  <c:v>2011Q2</c:v>
                </c:pt>
                <c:pt idx="41">
                  <c:v>2011Q1</c:v>
                </c:pt>
                <c:pt idx="42">
                  <c:v>2010Q4</c:v>
                </c:pt>
                <c:pt idx="43">
                  <c:v>2010Q3</c:v>
                </c:pt>
                <c:pt idx="44">
                  <c:v>2010Q2</c:v>
                </c:pt>
                <c:pt idx="45">
                  <c:v>2010Q1</c:v>
                </c:pt>
              </c:strCache>
            </c:strRef>
          </c:cat>
          <c:val>
            <c:numRef>
              <c:f>data!$B$7:$B$52</c:f>
              <c:numCache>
                <c:formatCode>General</c:formatCode>
                <c:ptCount val="46"/>
                <c:pt idx="0">
                  <c:v>106.88</c:v>
                </c:pt>
                <c:pt idx="1">
                  <c:v>106.59</c:v>
                </c:pt>
                <c:pt idx="2">
                  <c:v>106.06</c:v>
                </c:pt>
                <c:pt idx="3">
                  <c:v>106.23</c:v>
                </c:pt>
                <c:pt idx="4">
                  <c:v>106.62</c:v>
                </c:pt>
                <c:pt idx="5">
                  <c:v>105.64</c:v>
                </c:pt>
                <c:pt idx="6">
                  <c:v>105.25</c:v>
                </c:pt>
                <c:pt idx="7">
                  <c:v>104.98</c:v>
                </c:pt>
                <c:pt idx="8">
                  <c:v>104.3</c:v>
                </c:pt>
                <c:pt idx="9">
                  <c:v>103.75</c:v>
                </c:pt>
                <c:pt idx="10">
                  <c:v>103.03</c:v>
                </c:pt>
                <c:pt idx="11">
                  <c:v>102.12</c:v>
                </c:pt>
                <c:pt idx="12">
                  <c:v>101.42</c:v>
                </c:pt>
                <c:pt idx="13">
                  <c:v>101.06</c:v>
                </c:pt>
                <c:pt idx="14">
                  <c:v>100.51</c:v>
                </c:pt>
                <c:pt idx="15">
                  <c:v>100.06</c:v>
                </c:pt>
                <c:pt idx="16">
                  <c:v>99.69</c:v>
                </c:pt>
                <c:pt idx="17">
                  <c:v>98.96</c:v>
                </c:pt>
                <c:pt idx="18">
                  <c:v>98.75</c:v>
                </c:pt>
                <c:pt idx="19">
                  <c:v>98.48</c:v>
                </c:pt>
                <c:pt idx="20">
                  <c:v>98.4</c:v>
                </c:pt>
                <c:pt idx="21">
                  <c:v>98.88</c:v>
                </c:pt>
                <c:pt idx="22">
                  <c:v>99.69</c:v>
                </c:pt>
                <c:pt idx="23">
                  <c:v>99.73</c:v>
                </c:pt>
                <c:pt idx="24">
                  <c:v>100.08</c:v>
                </c:pt>
                <c:pt idx="25">
                  <c:v>100.51</c:v>
                </c:pt>
                <c:pt idx="26">
                  <c:v>101.53</c:v>
                </c:pt>
                <c:pt idx="27">
                  <c:v>103.61</c:v>
                </c:pt>
                <c:pt idx="28">
                  <c:v>105.38</c:v>
                </c:pt>
                <c:pt idx="29">
                  <c:v>107.49</c:v>
                </c:pt>
                <c:pt idx="30">
                  <c:v>110.38</c:v>
                </c:pt>
                <c:pt idx="31">
                  <c:v>113.1</c:v>
                </c:pt>
                <c:pt idx="32">
                  <c:v>115.99</c:v>
                </c:pt>
                <c:pt idx="33">
                  <c:v>118.71</c:v>
                </c:pt>
                <c:pt idx="34">
                  <c:v>120.64</c:v>
                </c:pt>
                <c:pt idx="35">
                  <c:v>121.54</c:v>
                </c:pt>
                <c:pt idx="36">
                  <c:v>122.73</c:v>
                </c:pt>
                <c:pt idx="37">
                  <c:v>125.22</c:v>
                </c:pt>
                <c:pt idx="38">
                  <c:v>126.6</c:v>
                </c:pt>
                <c:pt idx="39">
                  <c:v>128.85</c:v>
                </c:pt>
                <c:pt idx="40">
                  <c:v>130.34</c:v>
                </c:pt>
                <c:pt idx="41">
                  <c:v>131.83000000000001</c:v>
                </c:pt>
                <c:pt idx="42">
                  <c:v>133.19999999999999</c:v>
                </c:pt>
                <c:pt idx="43">
                  <c:v>133.91999999999999</c:v>
                </c:pt>
                <c:pt idx="44">
                  <c:v>133.88</c:v>
                </c:pt>
                <c:pt idx="45">
                  <c:v>134.37</c:v>
                </c:pt>
              </c:numCache>
            </c:numRef>
          </c:val>
          <c:smooth val="0"/>
          <c:extLst>
            <c:ext xmlns:c16="http://schemas.microsoft.com/office/drawing/2014/chart" uri="{C3380CC4-5D6E-409C-BE32-E72D297353CC}">
              <c16:uniqueId val="{00000004-17EB-AB41-92D4-0F364221E030}"/>
            </c:ext>
          </c:extLst>
        </c:ser>
        <c:dLbls>
          <c:showLegendKey val="0"/>
          <c:showVal val="0"/>
          <c:showCatName val="0"/>
          <c:showSerName val="0"/>
          <c:showPercent val="0"/>
          <c:showBubbleSize val="0"/>
        </c:dLbls>
        <c:smooth val="0"/>
        <c:axId val="1459406095"/>
        <c:axId val="1459354463"/>
      </c:lineChart>
      <c:catAx>
        <c:axId val="1459406095"/>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CY"/>
          </a:p>
        </c:txPr>
        <c:crossAx val="1459354463"/>
        <c:crosses val="autoZero"/>
        <c:auto val="1"/>
        <c:lblAlgn val="ctr"/>
        <c:lblOffset val="100"/>
        <c:noMultiLvlLbl val="0"/>
      </c:catAx>
      <c:valAx>
        <c:axId val="1459354463"/>
        <c:scaling>
          <c:orientation val="minMax"/>
          <c:min val="70"/>
        </c:scaling>
        <c:delete val="1"/>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594060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200"/>
              <a:t>Νοικοκυριά με καθυστέρηση σε υποχρεώσεις (%)</a:t>
            </a:r>
          </a:p>
          <a:p>
            <a:pPr>
              <a:defRPr/>
            </a:pPr>
            <a:r>
              <a:rPr lang="el-GR" sz="800"/>
              <a:t> </a:t>
            </a:r>
            <a:r>
              <a:rPr lang="en-US" sz="800"/>
              <a:t>Eurostat</a:t>
            </a:r>
            <a:endParaRPr lang="en-GB" sz="8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Y"/>
        </a:p>
      </c:txPr>
    </c:title>
    <c:autoTitleDeleted val="0"/>
    <c:plotArea>
      <c:layout/>
      <c:lineChart>
        <c:grouping val="standard"/>
        <c:varyColors val="0"/>
        <c:ser>
          <c:idx val="0"/>
          <c:order val="0"/>
          <c:tx>
            <c:strRef>
              <c:f>'[HH arrears.xlsx]HH arrears'!$I$1</c:f>
              <c:strCache>
                <c:ptCount val="1"/>
                <c:pt idx="0">
                  <c:v>CY</c:v>
                </c:pt>
              </c:strCache>
            </c:strRef>
          </c:tx>
          <c:spPr>
            <a:ln w="28575" cap="rnd">
              <a:solidFill>
                <a:schemeClr val="accent1"/>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BFA-B44E-9D92-E8A25605092A}"/>
                </c:ext>
              </c:extLst>
            </c:dLbl>
            <c:dLbl>
              <c:idx val="1"/>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BFA-B44E-9D92-E8A25605092A}"/>
                </c:ext>
              </c:extLst>
            </c:dLbl>
            <c:dLbl>
              <c:idx val="3"/>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BFA-B44E-9D92-E8A25605092A}"/>
                </c:ext>
              </c:extLst>
            </c:dLbl>
            <c:dLbl>
              <c:idx val="4"/>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BFA-B44E-9D92-E8A25605092A}"/>
                </c:ext>
              </c:extLst>
            </c:dLbl>
            <c:dLbl>
              <c:idx val="1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BFA-B44E-9D92-E8A2560509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'[HH arrears.xlsx]HH arrears'!$H$2:$H$12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'[HH arrears.xlsx]HH arrears'!$I$2:$I$12</c:f>
              <c:numCache>
                <c:formatCode>General</c:formatCode>
                <c:ptCount val="11"/>
                <c:pt idx="0">
                  <c:v>28</c:v>
                </c:pt>
                <c:pt idx="1">
                  <c:v>28.4</c:v>
                </c:pt>
                <c:pt idx="2">
                  <c:v>31.5</c:v>
                </c:pt>
                <c:pt idx="3">
                  <c:v>33.6</c:v>
                </c:pt>
                <c:pt idx="4">
                  <c:v>34.200000000000003</c:v>
                </c:pt>
                <c:pt idx="5">
                  <c:v>31.6</c:v>
                </c:pt>
                <c:pt idx="6">
                  <c:v>26.6</c:v>
                </c:pt>
                <c:pt idx="7">
                  <c:v>24.8</c:v>
                </c:pt>
                <c:pt idx="8">
                  <c:v>21.6</c:v>
                </c:pt>
                <c:pt idx="9">
                  <c:v>17.600000000000001</c:v>
                </c:pt>
                <c:pt idx="10">
                  <c:v>14.7</c:v>
                </c:pt>
              </c:numCache>
            </c:numRef>
          </c:val>
          <c:smooth val="0"/>
          <c:extLst>
            <c:ext xmlns:c16="http://schemas.microsoft.com/office/drawing/2014/chart" uri="{C3380CC4-5D6E-409C-BE32-E72D297353CC}">
              <c16:uniqueId val="{00000005-CBFA-B44E-9D92-E8A25605092A}"/>
            </c:ext>
          </c:extLst>
        </c:ser>
        <c:ser>
          <c:idx val="1"/>
          <c:order val="1"/>
          <c:tx>
            <c:strRef>
              <c:f>'[HH arrears.xlsx]HH arrears'!$J$1</c:f>
              <c:strCache>
                <c:ptCount val="1"/>
                <c:pt idx="0">
                  <c:v>EU</c:v>
                </c:pt>
              </c:strCache>
            </c:strRef>
          </c:tx>
          <c:spPr>
            <a:ln w="28575" cap="rnd">
              <a:solidFill>
                <a:schemeClr val="accent2"/>
              </a:solidFill>
              <a:prstDash val="sysDot"/>
              <a:round/>
            </a:ln>
            <a:effectLst/>
          </c:spPr>
          <c:marker>
            <c:symbol val="none"/>
          </c:marker>
          <c:dLbls>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BFA-B44E-9D92-E8A25605092A}"/>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BFA-B44E-9D92-E8A25605092A}"/>
                </c:ext>
              </c:extLst>
            </c:dLbl>
            <c:dLbl>
              <c:idx val="1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BFA-B44E-9D92-E8A2560509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'[HH arrears.xlsx]HH arrears'!$H$2:$H$12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'[HH arrears.xlsx]HH arrears'!$J$2:$J$12</c:f>
              <c:numCache>
                <c:formatCode>General</c:formatCode>
                <c:ptCount val="11"/>
                <c:pt idx="0">
                  <c:v>12.4</c:v>
                </c:pt>
                <c:pt idx="1">
                  <c:v>12.1</c:v>
                </c:pt>
                <c:pt idx="2">
                  <c:v>12.6</c:v>
                </c:pt>
                <c:pt idx="3">
                  <c:v>12.9</c:v>
                </c:pt>
                <c:pt idx="4">
                  <c:v>12.9</c:v>
                </c:pt>
                <c:pt idx="5">
                  <c:v>11.8</c:v>
                </c:pt>
                <c:pt idx="6">
                  <c:v>10.6</c:v>
                </c:pt>
                <c:pt idx="7">
                  <c:v>9.3000000000000007</c:v>
                </c:pt>
                <c:pt idx="8">
                  <c:v>8.9</c:v>
                </c:pt>
                <c:pt idx="9">
                  <c:v>8.1999999999999993</c:v>
                </c:pt>
                <c:pt idx="10">
                  <c:v>8.6</c:v>
                </c:pt>
              </c:numCache>
            </c:numRef>
          </c:val>
          <c:smooth val="0"/>
          <c:extLst>
            <c:ext xmlns:c16="http://schemas.microsoft.com/office/drawing/2014/chart" uri="{C3380CC4-5D6E-409C-BE32-E72D297353CC}">
              <c16:uniqueId val="{00000009-CBFA-B44E-9D92-E8A25605092A}"/>
            </c:ext>
          </c:extLst>
        </c:ser>
        <c:dLbls>
          <c:showLegendKey val="0"/>
          <c:showVal val="0"/>
          <c:showCatName val="0"/>
          <c:showSerName val="0"/>
          <c:showPercent val="0"/>
          <c:showBubbleSize val="0"/>
        </c:dLbls>
        <c:smooth val="0"/>
        <c:axId val="1029641743"/>
        <c:axId val="1029278751"/>
      </c:lineChart>
      <c:catAx>
        <c:axId val="1029641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029278751"/>
        <c:crosses val="autoZero"/>
        <c:auto val="1"/>
        <c:lblAlgn val="ctr"/>
        <c:lblOffset val="100"/>
        <c:noMultiLvlLbl val="0"/>
      </c:catAx>
      <c:valAx>
        <c:axId val="1029278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crossAx val="10296417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CY"/>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HH Cost of Borrowing for House</a:t>
            </a:r>
            <a:r>
              <a:rPr lang="en-GB" sz="1200" baseline="0"/>
              <a:t> Purchase</a:t>
            </a:r>
            <a:r>
              <a:rPr lang="en-GB" sz="1200"/>
              <a:t> (%)</a:t>
            </a:r>
          </a:p>
          <a:p>
            <a:pPr>
              <a:defRPr/>
            </a:pPr>
            <a:r>
              <a:rPr lang="en-GB" sz="800"/>
              <a:t>ECB DW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CY"/>
        </a:p>
      </c:txPr>
    </c:title>
    <c:autoTitleDeleted val="0"/>
    <c:plotArea>
      <c:layout/>
      <c:lineChart>
        <c:grouping val="standard"/>
        <c:varyColors val="0"/>
        <c:ser>
          <c:idx val="0"/>
          <c:order val="0"/>
          <c:spPr>
            <a:ln w="28575" cap="rnd">
              <a:solidFill>
                <a:schemeClr val="accent1"/>
              </a:solidFill>
              <a:round/>
            </a:ln>
            <a:effectLst/>
          </c:spPr>
          <c:marker>
            <c:symbol val="none"/>
          </c:marker>
          <c:dLbls>
            <c:dLbl>
              <c:idx val="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48F-164C-8641-569B440D66CE}"/>
                </c:ext>
              </c:extLst>
            </c:dLbl>
            <c:dLbl>
              <c:idx val="30"/>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48F-164C-8641-569B440D66CE}"/>
                </c:ext>
              </c:extLst>
            </c:dLbl>
            <c:dLbl>
              <c:idx val="9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48F-164C-8641-569B440D66CE}"/>
                </c:ext>
              </c:extLst>
            </c:dLbl>
            <c:dLbl>
              <c:idx val="119"/>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48F-164C-8641-569B440D66C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CY"/>
              </a:p>
            </c:txPr>
            <c:dLblPos val="t"/>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HHCostBorrow!$A$7:$A$137</c:f>
              <c:strCache>
                <c:ptCount val="131"/>
                <c:pt idx="0">
                  <c:v>2021Nov</c:v>
                </c:pt>
                <c:pt idx="1">
                  <c:v>2021Oct</c:v>
                </c:pt>
                <c:pt idx="2">
                  <c:v>2021Sep</c:v>
                </c:pt>
                <c:pt idx="3">
                  <c:v>2021Aug</c:v>
                </c:pt>
                <c:pt idx="4">
                  <c:v>2021Jul</c:v>
                </c:pt>
                <c:pt idx="5">
                  <c:v>2021Jun</c:v>
                </c:pt>
                <c:pt idx="6">
                  <c:v>2021May</c:v>
                </c:pt>
                <c:pt idx="7">
                  <c:v>2021Apr</c:v>
                </c:pt>
                <c:pt idx="8">
                  <c:v>2021Mar</c:v>
                </c:pt>
                <c:pt idx="9">
                  <c:v>2021Feb</c:v>
                </c:pt>
                <c:pt idx="10">
                  <c:v>2021Jan</c:v>
                </c:pt>
                <c:pt idx="11">
                  <c:v>2020Dec</c:v>
                </c:pt>
                <c:pt idx="12">
                  <c:v>2020Nov</c:v>
                </c:pt>
                <c:pt idx="13">
                  <c:v>2020Oct</c:v>
                </c:pt>
                <c:pt idx="14">
                  <c:v>2020Sep</c:v>
                </c:pt>
                <c:pt idx="15">
                  <c:v>2020Aug</c:v>
                </c:pt>
                <c:pt idx="16">
                  <c:v>2020Jul</c:v>
                </c:pt>
                <c:pt idx="17">
                  <c:v>2020Jun</c:v>
                </c:pt>
                <c:pt idx="18">
                  <c:v>2020May</c:v>
                </c:pt>
                <c:pt idx="19">
                  <c:v>2020Apr</c:v>
                </c:pt>
                <c:pt idx="20">
                  <c:v>2020Mar</c:v>
                </c:pt>
                <c:pt idx="21">
                  <c:v>2020Feb</c:v>
                </c:pt>
                <c:pt idx="22">
                  <c:v>2020Jan</c:v>
                </c:pt>
                <c:pt idx="23">
                  <c:v>2019Dec</c:v>
                </c:pt>
                <c:pt idx="24">
                  <c:v>2019Nov</c:v>
                </c:pt>
                <c:pt idx="25">
                  <c:v>2019Oct</c:v>
                </c:pt>
                <c:pt idx="26">
                  <c:v>2019Sep</c:v>
                </c:pt>
                <c:pt idx="27">
                  <c:v>2019Aug</c:v>
                </c:pt>
                <c:pt idx="28">
                  <c:v>2019Jul</c:v>
                </c:pt>
                <c:pt idx="29">
                  <c:v>2019Jun</c:v>
                </c:pt>
                <c:pt idx="30">
                  <c:v>2019May</c:v>
                </c:pt>
                <c:pt idx="31">
                  <c:v>2019Apr</c:v>
                </c:pt>
                <c:pt idx="32">
                  <c:v>2019Mar</c:v>
                </c:pt>
                <c:pt idx="33">
                  <c:v>2019Feb</c:v>
                </c:pt>
                <c:pt idx="34">
                  <c:v>2019Jan</c:v>
                </c:pt>
                <c:pt idx="35">
                  <c:v>2018Dec</c:v>
                </c:pt>
                <c:pt idx="36">
                  <c:v>2018Nov</c:v>
                </c:pt>
                <c:pt idx="37">
                  <c:v>2018Oct</c:v>
                </c:pt>
                <c:pt idx="38">
                  <c:v>2018Sep</c:v>
                </c:pt>
                <c:pt idx="39">
                  <c:v>2018Aug</c:v>
                </c:pt>
                <c:pt idx="40">
                  <c:v>2018Jul</c:v>
                </c:pt>
                <c:pt idx="41">
                  <c:v>2018Jun</c:v>
                </c:pt>
                <c:pt idx="42">
                  <c:v>2018May</c:v>
                </c:pt>
                <c:pt idx="43">
                  <c:v>2018Apr</c:v>
                </c:pt>
                <c:pt idx="44">
                  <c:v>2018Mar</c:v>
                </c:pt>
                <c:pt idx="45">
                  <c:v>2018Feb</c:v>
                </c:pt>
                <c:pt idx="46">
                  <c:v>2018Jan</c:v>
                </c:pt>
                <c:pt idx="47">
                  <c:v>2017Dec</c:v>
                </c:pt>
                <c:pt idx="48">
                  <c:v>2017Nov</c:v>
                </c:pt>
                <c:pt idx="49">
                  <c:v>2017Oct</c:v>
                </c:pt>
                <c:pt idx="50">
                  <c:v>2017Sep</c:v>
                </c:pt>
                <c:pt idx="51">
                  <c:v>2017Aug</c:v>
                </c:pt>
                <c:pt idx="52">
                  <c:v>2017Jul</c:v>
                </c:pt>
                <c:pt idx="53">
                  <c:v>2017Jun</c:v>
                </c:pt>
                <c:pt idx="54">
                  <c:v>2017May</c:v>
                </c:pt>
                <c:pt idx="55">
                  <c:v>2017Apr</c:v>
                </c:pt>
                <c:pt idx="56">
                  <c:v>2017Mar</c:v>
                </c:pt>
                <c:pt idx="57">
                  <c:v>2017Feb</c:v>
                </c:pt>
                <c:pt idx="58">
                  <c:v>2017Jan</c:v>
                </c:pt>
                <c:pt idx="59">
                  <c:v>2016Dec</c:v>
                </c:pt>
                <c:pt idx="60">
                  <c:v>2016Nov</c:v>
                </c:pt>
                <c:pt idx="61">
                  <c:v>2016Oct</c:v>
                </c:pt>
                <c:pt idx="62">
                  <c:v>2016Sep</c:v>
                </c:pt>
                <c:pt idx="63">
                  <c:v>2016Aug</c:v>
                </c:pt>
                <c:pt idx="64">
                  <c:v>2016Jul</c:v>
                </c:pt>
                <c:pt idx="65">
                  <c:v>2016Jun</c:v>
                </c:pt>
                <c:pt idx="66">
                  <c:v>2016May</c:v>
                </c:pt>
                <c:pt idx="67">
                  <c:v>2016Apr</c:v>
                </c:pt>
                <c:pt idx="68">
                  <c:v>2016Mar</c:v>
                </c:pt>
                <c:pt idx="69">
                  <c:v>2016Feb</c:v>
                </c:pt>
                <c:pt idx="70">
                  <c:v>2016Jan</c:v>
                </c:pt>
                <c:pt idx="71">
                  <c:v>2015Dec</c:v>
                </c:pt>
                <c:pt idx="72">
                  <c:v>2015Nov</c:v>
                </c:pt>
                <c:pt idx="73">
                  <c:v>2015Oct</c:v>
                </c:pt>
                <c:pt idx="74">
                  <c:v>2015Sep</c:v>
                </c:pt>
                <c:pt idx="75">
                  <c:v>2015Aug</c:v>
                </c:pt>
                <c:pt idx="76">
                  <c:v>2015Jul</c:v>
                </c:pt>
                <c:pt idx="77">
                  <c:v>2015Jun</c:v>
                </c:pt>
                <c:pt idx="78">
                  <c:v>2015May</c:v>
                </c:pt>
                <c:pt idx="79">
                  <c:v>2015Apr</c:v>
                </c:pt>
                <c:pt idx="80">
                  <c:v>2015Mar</c:v>
                </c:pt>
                <c:pt idx="81">
                  <c:v>2015Feb</c:v>
                </c:pt>
                <c:pt idx="82">
                  <c:v>2015Jan</c:v>
                </c:pt>
                <c:pt idx="83">
                  <c:v>2014Dec</c:v>
                </c:pt>
                <c:pt idx="84">
                  <c:v>2014Nov</c:v>
                </c:pt>
                <c:pt idx="85">
                  <c:v>2014Oct</c:v>
                </c:pt>
                <c:pt idx="86">
                  <c:v>2014Sep</c:v>
                </c:pt>
                <c:pt idx="87">
                  <c:v>2014Aug</c:v>
                </c:pt>
                <c:pt idx="88">
                  <c:v>2014Jul</c:v>
                </c:pt>
                <c:pt idx="89">
                  <c:v>2014Jun</c:v>
                </c:pt>
                <c:pt idx="90">
                  <c:v>2014May</c:v>
                </c:pt>
                <c:pt idx="91">
                  <c:v>2014Apr</c:v>
                </c:pt>
                <c:pt idx="92">
                  <c:v>2014Mar</c:v>
                </c:pt>
                <c:pt idx="93">
                  <c:v>2014Feb</c:v>
                </c:pt>
                <c:pt idx="94">
                  <c:v>2014Jan</c:v>
                </c:pt>
                <c:pt idx="95">
                  <c:v>2013Dec</c:v>
                </c:pt>
                <c:pt idx="96">
                  <c:v>2013Nov</c:v>
                </c:pt>
                <c:pt idx="97">
                  <c:v>2013Oct</c:v>
                </c:pt>
                <c:pt idx="98">
                  <c:v>2013Sep</c:v>
                </c:pt>
                <c:pt idx="99">
                  <c:v>2013Aug</c:v>
                </c:pt>
                <c:pt idx="100">
                  <c:v>2013Jul</c:v>
                </c:pt>
                <c:pt idx="101">
                  <c:v>2013Jun</c:v>
                </c:pt>
                <c:pt idx="102">
                  <c:v>2013May</c:v>
                </c:pt>
                <c:pt idx="103">
                  <c:v>2013Apr</c:v>
                </c:pt>
                <c:pt idx="104">
                  <c:v>2013Mar</c:v>
                </c:pt>
                <c:pt idx="105">
                  <c:v>2013Feb</c:v>
                </c:pt>
                <c:pt idx="106">
                  <c:v>2013Jan</c:v>
                </c:pt>
                <c:pt idx="107">
                  <c:v>2012Dec</c:v>
                </c:pt>
                <c:pt idx="108">
                  <c:v>2012Nov</c:v>
                </c:pt>
                <c:pt idx="109">
                  <c:v>2012Oct</c:v>
                </c:pt>
                <c:pt idx="110">
                  <c:v>2012Sep</c:v>
                </c:pt>
                <c:pt idx="111">
                  <c:v>2012Aug</c:v>
                </c:pt>
                <c:pt idx="112">
                  <c:v>2012Jul</c:v>
                </c:pt>
                <c:pt idx="113">
                  <c:v>2012Jun</c:v>
                </c:pt>
                <c:pt idx="114">
                  <c:v>2012May</c:v>
                </c:pt>
                <c:pt idx="115">
                  <c:v>2012Apr</c:v>
                </c:pt>
                <c:pt idx="116">
                  <c:v>2012Mar</c:v>
                </c:pt>
                <c:pt idx="117">
                  <c:v>2012Feb</c:v>
                </c:pt>
                <c:pt idx="118">
                  <c:v>2012Jan</c:v>
                </c:pt>
                <c:pt idx="119">
                  <c:v>2011Dec</c:v>
                </c:pt>
                <c:pt idx="120">
                  <c:v>2011Nov</c:v>
                </c:pt>
                <c:pt idx="121">
                  <c:v>2011Oct</c:v>
                </c:pt>
                <c:pt idx="122">
                  <c:v>2011Sep</c:v>
                </c:pt>
                <c:pt idx="123">
                  <c:v>2011Aug</c:v>
                </c:pt>
                <c:pt idx="124">
                  <c:v>2011Jul</c:v>
                </c:pt>
                <c:pt idx="125">
                  <c:v>2011Jun</c:v>
                </c:pt>
                <c:pt idx="126">
                  <c:v>2011May</c:v>
                </c:pt>
                <c:pt idx="127">
                  <c:v>2011Apr</c:v>
                </c:pt>
                <c:pt idx="128">
                  <c:v>2011Mar</c:v>
                </c:pt>
                <c:pt idx="129">
                  <c:v>2011Feb</c:v>
                </c:pt>
                <c:pt idx="130">
                  <c:v>2011Jan</c:v>
                </c:pt>
              </c:strCache>
            </c:strRef>
          </c:cat>
          <c:val>
            <c:numRef>
              <c:f>HHCostBorrow!$B$7:$B$137</c:f>
              <c:numCache>
                <c:formatCode>General</c:formatCode>
                <c:ptCount val="131"/>
                <c:pt idx="0">
                  <c:v>2.12</c:v>
                </c:pt>
                <c:pt idx="1">
                  <c:v>2.19</c:v>
                </c:pt>
                <c:pt idx="2">
                  <c:v>2.19</c:v>
                </c:pt>
                <c:pt idx="3">
                  <c:v>2.16</c:v>
                </c:pt>
                <c:pt idx="4">
                  <c:v>2.2000000000000002</c:v>
                </c:pt>
                <c:pt idx="5">
                  <c:v>2.13</c:v>
                </c:pt>
                <c:pt idx="6">
                  <c:v>2.19</c:v>
                </c:pt>
                <c:pt idx="7">
                  <c:v>2.16</c:v>
                </c:pt>
                <c:pt idx="8">
                  <c:v>2.17</c:v>
                </c:pt>
                <c:pt idx="9">
                  <c:v>2.13</c:v>
                </c:pt>
                <c:pt idx="10">
                  <c:v>2.12</c:v>
                </c:pt>
                <c:pt idx="11">
                  <c:v>2.15</c:v>
                </c:pt>
                <c:pt idx="12">
                  <c:v>2.08</c:v>
                </c:pt>
                <c:pt idx="13">
                  <c:v>2.12</c:v>
                </c:pt>
                <c:pt idx="14">
                  <c:v>2.11</c:v>
                </c:pt>
                <c:pt idx="15">
                  <c:v>2.06</c:v>
                </c:pt>
                <c:pt idx="16">
                  <c:v>2.0299999999999998</c:v>
                </c:pt>
                <c:pt idx="17">
                  <c:v>2.0499999999999998</c:v>
                </c:pt>
                <c:pt idx="18">
                  <c:v>2.08</c:v>
                </c:pt>
                <c:pt idx="19">
                  <c:v>2.1</c:v>
                </c:pt>
                <c:pt idx="20">
                  <c:v>2.09</c:v>
                </c:pt>
                <c:pt idx="21">
                  <c:v>2.02</c:v>
                </c:pt>
                <c:pt idx="22">
                  <c:v>2.06</c:v>
                </c:pt>
                <c:pt idx="23">
                  <c:v>2.1</c:v>
                </c:pt>
                <c:pt idx="24">
                  <c:v>2.09</c:v>
                </c:pt>
                <c:pt idx="25">
                  <c:v>2.0699999999999998</c:v>
                </c:pt>
                <c:pt idx="26">
                  <c:v>2.12</c:v>
                </c:pt>
                <c:pt idx="27">
                  <c:v>2.11</c:v>
                </c:pt>
                <c:pt idx="28">
                  <c:v>2.0699999999999998</c:v>
                </c:pt>
                <c:pt idx="29">
                  <c:v>2.09</c:v>
                </c:pt>
                <c:pt idx="30">
                  <c:v>2.0699999999999998</c:v>
                </c:pt>
                <c:pt idx="31">
                  <c:v>2.0499999999999998</c:v>
                </c:pt>
                <c:pt idx="32">
                  <c:v>2.1800000000000002</c:v>
                </c:pt>
                <c:pt idx="33">
                  <c:v>2.2000000000000002</c:v>
                </c:pt>
                <c:pt idx="34">
                  <c:v>2.16</c:v>
                </c:pt>
                <c:pt idx="35">
                  <c:v>2.12</c:v>
                </c:pt>
                <c:pt idx="36">
                  <c:v>2.27</c:v>
                </c:pt>
                <c:pt idx="37">
                  <c:v>2.2400000000000002</c:v>
                </c:pt>
                <c:pt idx="38">
                  <c:v>2.35</c:v>
                </c:pt>
                <c:pt idx="39">
                  <c:v>2.38</c:v>
                </c:pt>
                <c:pt idx="40">
                  <c:v>2.46</c:v>
                </c:pt>
                <c:pt idx="41">
                  <c:v>2.31</c:v>
                </c:pt>
                <c:pt idx="42">
                  <c:v>2.44</c:v>
                </c:pt>
                <c:pt idx="43">
                  <c:v>2.46</c:v>
                </c:pt>
                <c:pt idx="44">
                  <c:v>2.5099999999999998</c:v>
                </c:pt>
                <c:pt idx="45">
                  <c:v>2.6</c:v>
                </c:pt>
                <c:pt idx="46">
                  <c:v>2.5299999999999998</c:v>
                </c:pt>
                <c:pt idx="47">
                  <c:v>2.52</c:v>
                </c:pt>
                <c:pt idx="48">
                  <c:v>2.58</c:v>
                </c:pt>
                <c:pt idx="49">
                  <c:v>2.74</c:v>
                </c:pt>
                <c:pt idx="50">
                  <c:v>2.63</c:v>
                </c:pt>
                <c:pt idx="51">
                  <c:v>2.59</c:v>
                </c:pt>
                <c:pt idx="52">
                  <c:v>2.78</c:v>
                </c:pt>
                <c:pt idx="53">
                  <c:v>2.85</c:v>
                </c:pt>
                <c:pt idx="54">
                  <c:v>2.82</c:v>
                </c:pt>
                <c:pt idx="55">
                  <c:v>2.88</c:v>
                </c:pt>
                <c:pt idx="56">
                  <c:v>2.85</c:v>
                </c:pt>
                <c:pt idx="57">
                  <c:v>3</c:v>
                </c:pt>
                <c:pt idx="58">
                  <c:v>2.96</c:v>
                </c:pt>
                <c:pt idx="59">
                  <c:v>3.01</c:v>
                </c:pt>
                <c:pt idx="60">
                  <c:v>2.97</c:v>
                </c:pt>
                <c:pt idx="61">
                  <c:v>2.97</c:v>
                </c:pt>
                <c:pt idx="62">
                  <c:v>2.99</c:v>
                </c:pt>
                <c:pt idx="63">
                  <c:v>3.05</c:v>
                </c:pt>
                <c:pt idx="64">
                  <c:v>2.98</c:v>
                </c:pt>
                <c:pt idx="65">
                  <c:v>3.01</c:v>
                </c:pt>
                <c:pt idx="66">
                  <c:v>3.13</c:v>
                </c:pt>
                <c:pt idx="67">
                  <c:v>3.21</c:v>
                </c:pt>
                <c:pt idx="68">
                  <c:v>3.14</c:v>
                </c:pt>
                <c:pt idx="69">
                  <c:v>3.16</c:v>
                </c:pt>
                <c:pt idx="70">
                  <c:v>3.39</c:v>
                </c:pt>
                <c:pt idx="71">
                  <c:v>3.32</c:v>
                </c:pt>
                <c:pt idx="72">
                  <c:v>3.4</c:v>
                </c:pt>
                <c:pt idx="73">
                  <c:v>3.37</c:v>
                </c:pt>
                <c:pt idx="74">
                  <c:v>3.42</c:v>
                </c:pt>
                <c:pt idx="75">
                  <c:v>3.41</c:v>
                </c:pt>
                <c:pt idx="76">
                  <c:v>3.33</c:v>
                </c:pt>
                <c:pt idx="77">
                  <c:v>3.43</c:v>
                </c:pt>
                <c:pt idx="78">
                  <c:v>3.53</c:v>
                </c:pt>
                <c:pt idx="79">
                  <c:v>3.68</c:v>
                </c:pt>
                <c:pt idx="80">
                  <c:v>3.81</c:v>
                </c:pt>
                <c:pt idx="81">
                  <c:v>4.4400000000000004</c:v>
                </c:pt>
                <c:pt idx="82">
                  <c:v>4.47</c:v>
                </c:pt>
                <c:pt idx="83">
                  <c:v>4.41</c:v>
                </c:pt>
                <c:pt idx="84">
                  <c:v>4.26</c:v>
                </c:pt>
                <c:pt idx="85">
                  <c:v>4.5999999999999996</c:v>
                </c:pt>
                <c:pt idx="86">
                  <c:v>4.32</c:v>
                </c:pt>
                <c:pt idx="87">
                  <c:v>4.13</c:v>
                </c:pt>
                <c:pt idx="88">
                  <c:v>4.46</c:v>
                </c:pt>
                <c:pt idx="89">
                  <c:v>4.32</c:v>
                </c:pt>
                <c:pt idx="90">
                  <c:v>4.3499999999999996</c:v>
                </c:pt>
                <c:pt idx="91">
                  <c:v>4.5999999999999996</c:v>
                </c:pt>
                <c:pt idx="92">
                  <c:v>4.46</c:v>
                </c:pt>
                <c:pt idx="93">
                  <c:v>4.55</c:v>
                </c:pt>
                <c:pt idx="94">
                  <c:v>4.58</c:v>
                </c:pt>
                <c:pt idx="95">
                  <c:v>4.59</c:v>
                </c:pt>
                <c:pt idx="96">
                  <c:v>4.62</c:v>
                </c:pt>
                <c:pt idx="97">
                  <c:v>4.72</c:v>
                </c:pt>
                <c:pt idx="98">
                  <c:v>4.68</c:v>
                </c:pt>
                <c:pt idx="99">
                  <c:v>5.25</c:v>
                </c:pt>
                <c:pt idx="100">
                  <c:v>5.19</c:v>
                </c:pt>
                <c:pt idx="101">
                  <c:v>4.97</c:v>
                </c:pt>
                <c:pt idx="102">
                  <c:v>4.54</c:v>
                </c:pt>
                <c:pt idx="103">
                  <c:v>4.96</c:v>
                </c:pt>
                <c:pt idx="104">
                  <c:v>4.96</c:v>
                </c:pt>
                <c:pt idx="105">
                  <c:v>5.12</c:v>
                </c:pt>
                <c:pt idx="106">
                  <c:v>4.92</c:v>
                </c:pt>
                <c:pt idx="107">
                  <c:v>5.0599999999999996</c:v>
                </c:pt>
                <c:pt idx="108">
                  <c:v>4.9800000000000004</c:v>
                </c:pt>
                <c:pt idx="109">
                  <c:v>5.08</c:v>
                </c:pt>
                <c:pt idx="110">
                  <c:v>5.03</c:v>
                </c:pt>
                <c:pt idx="111">
                  <c:v>4.91</c:v>
                </c:pt>
                <c:pt idx="112">
                  <c:v>5.16</c:v>
                </c:pt>
                <c:pt idx="113">
                  <c:v>5.45</c:v>
                </c:pt>
                <c:pt idx="114">
                  <c:v>5.38</c:v>
                </c:pt>
                <c:pt idx="115">
                  <c:v>5.35</c:v>
                </c:pt>
                <c:pt idx="116">
                  <c:v>5.32</c:v>
                </c:pt>
                <c:pt idx="117">
                  <c:v>5.19</c:v>
                </c:pt>
                <c:pt idx="118">
                  <c:v>5.26</c:v>
                </c:pt>
                <c:pt idx="119">
                  <c:v>5.5</c:v>
                </c:pt>
                <c:pt idx="120">
                  <c:v>5.25</c:v>
                </c:pt>
                <c:pt idx="121">
                  <c:v>5.26</c:v>
                </c:pt>
                <c:pt idx="122">
                  <c:v>5.29</c:v>
                </c:pt>
                <c:pt idx="123">
                  <c:v>5.18</c:v>
                </c:pt>
                <c:pt idx="124">
                  <c:v>5.16</c:v>
                </c:pt>
                <c:pt idx="125">
                  <c:v>5.08</c:v>
                </c:pt>
                <c:pt idx="126">
                  <c:v>4.92</c:v>
                </c:pt>
                <c:pt idx="127">
                  <c:v>4.7</c:v>
                </c:pt>
                <c:pt idx="128">
                  <c:v>4.83</c:v>
                </c:pt>
                <c:pt idx="129">
                  <c:v>4.7300000000000004</c:v>
                </c:pt>
                <c:pt idx="130">
                  <c:v>4.72</c:v>
                </c:pt>
              </c:numCache>
            </c:numRef>
          </c:val>
          <c:smooth val="0"/>
          <c:extLst>
            <c:ext xmlns:c16="http://schemas.microsoft.com/office/drawing/2014/chart" uri="{C3380CC4-5D6E-409C-BE32-E72D297353CC}">
              <c16:uniqueId val="{00000000-B48F-164C-8641-569B440D66CE}"/>
            </c:ext>
          </c:extLst>
        </c:ser>
        <c:dLbls>
          <c:showLegendKey val="0"/>
          <c:showVal val="0"/>
          <c:showCatName val="0"/>
          <c:showSerName val="0"/>
          <c:showPercent val="0"/>
          <c:showBubbleSize val="0"/>
        </c:dLbls>
        <c:smooth val="0"/>
        <c:axId val="1459563087"/>
        <c:axId val="1459033727"/>
      </c:lineChart>
      <c:catAx>
        <c:axId val="1459563087"/>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CY"/>
          </a:p>
        </c:txPr>
        <c:crossAx val="1459033727"/>
        <c:crosses val="autoZero"/>
        <c:auto val="1"/>
        <c:lblAlgn val="ctr"/>
        <c:lblOffset val="100"/>
        <c:noMultiLvlLbl val="0"/>
      </c:catAx>
      <c:valAx>
        <c:axId val="1459033727"/>
        <c:scaling>
          <c:orientation val="minMax"/>
        </c:scaling>
        <c:delete val="1"/>
        <c:axPos val="r"/>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45956308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CY"/>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0.52666</cdr:x>
      <cdr:y>0.54394</cdr:y>
    </cdr:from>
    <cdr:to>
      <cdr:x>0.52666</cdr:x>
      <cdr:y>0.8503</cdr:y>
    </cdr:to>
    <cdr:cxnSp macro="">
      <cdr:nvCxnSpPr>
        <cdr:cNvPr id="3" name="Straight Connector 2">
          <a:extLst xmlns:a="http://schemas.openxmlformats.org/drawingml/2006/main">
            <a:ext uri="{FF2B5EF4-FFF2-40B4-BE49-F238E27FC236}">
              <a16:creationId xmlns:a16="http://schemas.microsoft.com/office/drawing/2014/main" id="{37067501-68D3-134F-BCEC-98F0F0E23896}"/>
            </a:ext>
          </a:extLst>
        </cdr:cNvPr>
        <cdr:cNvCxnSpPr/>
      </cdr:nvCxnSpPr>
      <cdr:spPr>
        <a:xfrm xmlns:a="http://schemas.openxmlformats.org/drawingml/2006/main" flipH="1">
          <a:off x="3126226" y="2104870"/>
          <a:ext cx="1" cy="1185530"/>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0.05119</cdr:x>
      <cdr:y>0.17277</cdr:y>
    </cdr:from>
    <cdr:to>
      <cdr:x>0.05119</cdr:x>
      <cdr:y>0.8503</cdr:y>
    </cdr:to>
    <cdr:cxnSp macro="">
      <cdr:nvCxnSpPr>
        <cdr:cNvPr id="5" name="Straight Connector 4">
          <a:extLst xmlns:a="http://schemas.openxmlformats.org/drawingml/2006/main">
            <a:ext uri="{FF2B5EF4-FFF2-40B4-BE49-F238E27FC236}">
              <a16:creationId xmlns:a16="http://schemas.microsoft.com/office/drawing/2014/main" id="{B090EC6E-0E70-674E-87EC-66909D10A82C}"/>
            </a:ext>
          </a:extLst>
        </cdr:cNvPr>
        <cdr:cNvCxnSpPr/>
      </cdr:nvCxnSpPr>
      <cdr:spPr>
        <a:xfrm xmlns:a="http://schemas.openxmlformats.org/drawingml/2006/main">
          <a:off x="303863" y="668566"/>
          <a:ext cx="0" cy="2621834"/>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0.85772</cdr:x>
      <cdr:y>0.46086</cdr:y>
    </cdr:from>
    <cdr:to>
      <cdr:x>0.85772</cdr:x>
      <cdr:y>0.8503</cdr:y>
    </cdr:to>
    <cdr:cxnSp macro="">
      <cdr:nvCxnSpPr>
        <cdr:cNvPr id="7" name="Straight Connector 6">
          <a:extLst xmlns:a="http://schemas.openxmlformats.org/drawingml/2006/main">
            <a:ext uri="{FF2B5EF4-FFF2-40B4-BE49-F238E27FC236}">
              <a16:creationId xmlns:a16="http://schemas.microsoft.com/office/drawing/2014/main" id="{A50D3CE6-1B3A-6044-BB62-A08C76F7D62C}"/>
            </a:ext>
          </a:extLst>
        </cdr:cNvPr>
        <cdr:cNvCxnSpPr/>
      </cdr:nvCxnSpPr>
      <cdr:spPr>
        <a:xfrm xmlns:a="http://schemas.openxmlformats.org/drawingml/2006/main">
          <a:off x="5091386" y="1783398"/>
          <a:ext cx="0" cy="1507002"/>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0.9397</cdr:x>
      <cdr:y>0.45179</cdr:y>
    </cdr:from>
    <cdr:to>
      <cdr:x>0.9397</cdr:x>
      <cdr:y>0.84472</cdr:y>
    </cdr:to>
    <cdr:cxnSp macro="">
      <cdr:nvCxnSpPr>
        <cdr:cNvPr id="10" name="Straight Connector 9">
          <a:extLst xmlns:a="http://schemas.openxmlformats.org/drawingml/2006/main">
            <a:ext uri="{FF2B5EF4-FFF2-40B4-BE49-F238E27FC236}">
              <a16:creationId xmlns:a16="http://schemas.microsoft.com/office/drawing/2014/main" id="{A50D3CE6-1B3A-6044-BB62-A08C76F7D62C}"/>
            </a:ext>
          </a:extLst>
        </cdr:cNvPr>
        <cdr:cNvCxnSpPr/>
      </cdr:nvCxnSpPr>
      <cdr:spPr>
        <a:xfrm xmlns:a="http://schemas.openxmlformats.org/drawingml/2006/main" flipH="1">
          <a:off x="5578033" y="1748293"/>
          <a:ext cx="1" cy="1520507"/>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0.33253</cdr:x>
      <cdr:y>0.21707</cdr:y>
    </cdr:from>
    <cdr:to>
      <cdr:x>0.33374</cdr:x>
      <cdr:y>0.89981</cdr:y>
    </cdr:to>
    <cdr:cxnSp macro="">
      <cdr:nvCxnSpPr>
        <cdr:cNvPr id="3" name="Straight Connector 2">
          <a:extLst xmlns:a="http://schemas.openxmlformats.org/drawingml/2006/main">
            <a:ext uri="{FF2B5EF4-FFF2-40B4-BE49-F238E27FC236}">
              <a16:creationId xmlns:a16="http://schemas.microsoft.com/office/drawing/2014/main" id="{ABEB22AB-0D44-014D-AA10-A90CA134991B}"/>
            </a:ext>
          </a:extLst>
        </cdr:cNvPr>
        <cdr:cNvCxnSpPr/>
      </cdr:nvCxnSpPr>
      <cdr:spPr>
        <a:xfrm xmlns:a="http://schemas.openxmlformats.org/drawingml/2006/main" flipH="1">
          <a:off x="3090708" y="1314956"/>
          <a:ext cx="11239" cy="4135929"/>
        </a:xfrm>
        <a:prstGeom xmlns:a="http://schemas.openxmlformats.org/drawingml/2006/main" prst="line">
          <a:avLst/>
        </a:prstGeom>
        <a:ln xmlns:a="http://schemas.openxmlformats.org/drawingml/2006/main">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31B1E-7595-6B40-B947-FD9CFD05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2515</Words>
  <Characters>14340</Characters>
  <Application>Microsoft Office Word</Application>
  <DocSecurity>2</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michalis persianis</dc:creator>
  <cp:keywords/>
  <dc:description/>
  <cp:lastModifiedBy>michalis persianis</cp:lastModifiedBy>
  <cp:revision>3</cp:revision>
  <dcterms:created xsi:type="dcterms:W3CDTF">2022-01-20T11:44:00Z</dcterms:created>
  <dcterms:modified xsi:type="dcterms:W3CDTF">2022-03-31T07:55:00Z</dcterms:modified>
</cp:coreProperties>
</file>